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ED0F64" w:rsidRDefault="00ED0F6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157E59">
        <w:rPr>
          <w:b/>
          <w:sz w:val="26"/>
          <w:szCs w:val="26"/>
        </w:rPr>
        <w:t>311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157E59">
        <w:rPr>
          <w:sz w:val="26"/>
          <w:szCs w:val="26"/>
          <w:lang w:val="ru-RU"/>
        </w:rPr>
        <w:t xml:space="preserve">  20</w:t>
      </w:r>
      <w:r w:rsidR="003A38A8">
        <w:rPr>
          <w:sz w:val="26"/>
          <w:szCs w:val="26"/>
          <w:lang w:val="ru-RU"/>
        </w:rPr>
        <w:t xml:space="preserve"> апреля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1E7A08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654C7">
        <w:rPr>
          <w:sz w:val="26"/>
          <w:szCs w:val="26"/>
          <w:lang w:val="ru-RU" w:eastAsia="ru-RU"/>
        </w:rPr>
        <w:t xml:space="preserve">Бородина Н.В., </w:t>
      </w:r>
      <w:r w:rsidR="00213E8F">
        <w:rPr>
          <w:sz w:val="26"/>
          <w:szCs w:val="26"/>
          <w:lang w:val="ru-RU" w:eastAsia="ru-RU"/>
        </w:rPr>
        <w:t xml:space="preserve">Бутовский В.В., Веренков А.И., </w:t>
      </w:r>
      <w:r w:rsidR="00DC5790">
        <w:rPr>
          <w:sz w:val="26"/>
          <w:szCs w:val="26"/>
          <w:lang w:val="ru-RU" w:eastAsia="ru-RU"/>
        </w:rPr>
        <w:t>Голенко В.С.,</w:t>
      </w:r>
      <w:r w:rsidR="00213E8F">
        <w:rPr>
          <w:sz w:val="26"/>
          <w:szCs w:val="26"/>
          <w:lang w:val="ru-RU" w:eastAsia="ru-RU"/>
        </w:rPr>
        <w:t xml:space="preserve"> Горячева О.В., Гузов Ю.Н., </w:t>
      </w:r>
      <w:r w:rsidR="005654C7"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</w:t>
      </w:r>
      <w:r w:rsidR="0014706B">
        <w:rPr>
          <w:sz w:val="26"/>
          <w:szCs w:val="26"/>
          <w:lang w:val="ru-RU" w:eastAsia="ru-RU"/>
        </w:rPr>
        <w:t xml:space="preserve">Задубровская А.В.,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>
        <w:rPr>
          <w:sz w:val="26"/>
          <w:szCs w:val="26"/>
          <w:lang w:val="ru-RU" w:eastAsia="ru-RU"/>
        </w:rPr>
        <w:t xml:space="preserve">Кромин А.Ю., </w:t>
      </w:r>
      <w:r w:rsidR="00213E8F">
        <w:rPr>
          <w:sz w:val="26"/>
          <w:szCs w:val="26"/>
          <w:lang w:val="ru-RU" w:eastAsia="ru-RU"/>
        </w:rPr>
        <w:t xml:space="preserve">Кузнецов А.П., </w:t>
      </w:r>
      <w:r w:rsidR="00720438">
        <w:rPr>
          <w:sz w:val="26"/>
          <w:szCs w:val="26"/>
          <w:lang w:val="ru-RU" w:eastAsia="ru-RU"/>
        </w:rPr>
        <w:t xml:space="preserve">Лимаренко Д.Н., </w:t>
      </w:r>
      <w:r w:rsidR="00DC5790">
        <w:rPr>
          <w:sz w:val="26"/>
          <w:szCs w:val="26"/>
          <w:lang w:val="ru-RU" w:eastAsia="ru-RU"/>
        </w:rPr>
        <w:t xml:space="preserve">Михайлович Т.Н.,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213E8F">
        <w:rPr>
          <w:sz w:val="26"/>
          <w:szCs w:val="26"/>
          <w:lang w:val="ru-RU" w:eastAsia="ru-RU"/>
        </w:rPr>
        <w:t xml:space="preserve"> </w:t>
      </w:r>
      <w:r w:rsidR="00157E59">
        <w:rPr>
          <w:sz w:val="26"/>
          <w:szCs w:val="26"/>
          <w:lang w:val="ru-RU" w:eastAsia="ru-RU"/>
        </w:rPr>
        <w:t xml:space="preserve">Рукин В.В., Рыбенко Г.А., </w:t>
      </w:r>
      <w:r w:rsidR="00213E8F">
        <w:rPr>
          <w:sz w:val="26"/>
          <w:szCs w:val="26"/>
          <w:lang w:val="ru-RU" w:eastAsia="ru-RU"/>
        </w:rPr>
        <w:t>Селезнев А.В.,</w:t>
      </w:r>
      <w:r w:rsidR="00157E59">
        <w:rPr>
          <w:sz w:val="26"/>
          <w:szCs w:val="26"/>
          <w:lang w:val="ru-RU" w:eastAsia="ru-RU"/>
        </w:rPr>
        <w:t xml:space="preserve"> Симакова М.Ю.,</w:t>
      </w:r>
      <w:r w:rsidR="00213E8F">
        <w:rPr>
          <w:sz w:val="26"/>
          <w:szCs w:val="26"/>
          <w:lang w:val="ru-RU" w:eastAsia="ru-RU"/>
        </w:rPr>
        <w:t xml:space="preserve"> </w:t>
      </w:r>
      <w:r w:rsidR="00720438">
        <w:rPr>
          <w:sz w:val="26"/>
          <w:szCs w:val="26"/>
          <w:lang w:val="ru-RU" w:eastAsia="ru-RU"/>
        </w:rPr>
        <w:t xml:space="preserve">Старовойтова Е.В., </w:t>
      </w:r>
      <w:r w:rsidR="00213E8F">
        <w:rPr>
          <w:sz w:val="26"/>
          <w:szCs w:val="26"/>
          <w:lang w:val="ru-RU" w:eastAsia="ru-RU"/>
        </w:rPr>
        <w:t xml:space="preserve">Степанова С.И.,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Чая В.Т., </w:t>
      </w:r>
      <w:r w:rsidR="003051CD">
        <w:rPr>
          <w:sz w:val="26"/>
          <w:szCs w:val="26"/>
          <w:lang w:val="ru-RU" w:eastAsia="ru-RU"/>
        </w:rPr>
        <w:t xml:space="preserve">Чепик Н.А.,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  <w:r w:rsidR="00DE15E2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157E59">
        <w:rPr>
          <w:bCs/>
          <w:sz w:val="26"/>
          <w:szCs w:val="26"/>
        </w:rPr>
        <w:t>27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157E59">
        <w:rPr>
          <w:bCs/>
          <w:sz w:val="26"/>
          <w:szCs w:val="26"/>
        </w:rPr>
        <w:t>57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157E59">
        <w:rPr>
          <w:sz w:val="26"/>
          <w:szCs w:val="26"/>
        </w:rPr>
        <w:t>20</w:t>
      </w:r>
      <w:r w:rsidR="00DC5790">
        <w:rPr>
          <w:sz w:val="26"/>
          <w:szCs w:val="26"/>
        </w:rPr>
        <w:t xml:space="preserve"> </w:t>
      </w:r>
      <w:r w:rsidR="00720438">
        <w:rPr>
          <w:sz w:val="26"/>
          <w:szCs w:val="26"/>
        </w:rPr>
        <w:t>апреля</w:t>
      </w:r>
      <w:r w:rsidR="00DC5790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213E8F" w:rsidRDefault="00213E8F" w:rsidP="00213E8F">
      <w:pPr>
        <w:numPr>
          <w:ilvl w:val="0"/>
          <w:numId w:val="1"/>
        </w:numPr>
        <w:jc w:val="both"/>
        <w:rPr>
          <w:sz w:val="26"/>
          <w:szCs w:val="26"/>
        </w:rPr>
      </w:pPr>
      <w:r w:rsidRPr="00213E8F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157E59" w:rsidRPr="00157E59" w:rsidRDefault="00576FBD" w:rsidP="00771234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57E59">
        <w:rPr>
          <w:sz w:val="26"/>
          <w:szCs w:val="26"/>
        </w:rPr>
        <w:t>О приеме в члены СРО ААС.</w:t>
      </w:r>
    </w:p>
    <w:p w:rsidR="00281F46" w:rsidRPr="00157E59" w:rsidRDefault="00157E59" w:rsidP="00771234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57E59">
        <w:rPr>
          <w:sz w:val="26"/>
          <w:szCs w:val="26"/>
        </w:rPr>
        <w:t>О приеме в члены и внесении образовательных организаций в Реестр УМЦ СРО ААС</w:t>
      </w: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57E59" w:rsidRPr="00244DF1" w:rsidRDefault="00157E59" w:rsidP="00157E5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44DF1">
        <w:rPr>
          <w:b/>
          <w:i/>
          <w:sz w:val="26"/>
          <w:szCs w:val="26"/>
          <w:u w:val="single"/>
        </w:rPr>
        <w:t>По первому вопросу</w:t>
      </w:r>
    </w:p>
    <w:p w:rsidR="00157E59" w:rsidRPr="00244DF1" w:rsidRDefault="00157E59" w:rsidP="00157E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>О выдаче квалификационных аттестатов аудитора</w:t>
      </w:r>
    </w:p>
    <w:p w:rsidR="00157E59" w:rsidRPr="00244DF1" w:rsidRDefault="00157E59" w:rsidP="00157E5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57E59" w:rsidRPr="00244DF1" w:rsidRDefault="00157E59" w:rsidP="00157E5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>Решили:</w:t>
      </w:r>
    </w:p>
    <w:p w:rsidR="00157E59" w:rsidRPr="0047397E" w:rsidRDefault="00157E59" w:rsidP="0047397E">
      <w:pPr>
        <w:jc w:val="both"/>
        <w:rPr>
          <w:sz w:val="26"/>
          <w:szCs w:val="26"/>
        </w:rPr>
      </w:pPr>
      <w:r w:rsidRPr="0047397E">
        <w:rPr>
          <w:sz w:val="26"/>
          <w:szCs w:val="26"/>
        </w:rPr>
        <w:t xml:space="preserve">1.1. Выдать </w:t>
      </w:r>
      <w:r w:rsidR="0047397E">
        <w:rPr>
          <w:sz w:val="26"/>
          <w:szCs w:val="26"/>
        </w:rPr>
        <w:t xml:space="preserve">1 </w:t>
      </w:r>
      <w:bookmarkStart w:id="3" w:name="_GoBack"/>
      <w:bookmarkEnd w:id="3"/>
      <w:r w:rsidRPr="0047397E">
        <w:rPr>
          <w:sz w:val="26"/>
          <w:szCs w:val="26"/>
        </w:rPr>
        <w:t>квалификационный аттестат аудитора (для вновь аттестуемых аудиторов)</w:t>
      </w:r>
      <w:r w:rsidR="0047397E" w:rsidRPr="0047397E">
        <w:rPr>
          <w:sz w:val="26"/>
          <w:szCs w:val="26"/>
        </w:rPr>
        <w:t>.</w:t>
      </w:r>
    </w:p>
    <w:p w:rsidR="00157E59" w:rsidRPr="00244DF1" w:rsidRDefault="00157E59" w:rsidP="00157E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>Решение принято единогласно</w:t>
      </w:r>
    </w:p>
    <w:p w:rsidR="00157E59" w:rsidRDefault="00157E59" w:rsidP="00157E5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57E59" w:rsidRPr="00244DF1" w:rsidRDefault="00157E59" w:rsidP="00157E5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44DF1">
        <w:rPr>
          <w:b/>
          <w:i/>
          <w:sz w:val="26"/>
          <w:szCs w:val="26"/>
          <w:u w:val="single"/>
        </w:rPr>
        <w:t>По второму вопросу</w:t>
      </w:r>
    </w:p>
    <w:p w:rsidR="00157E59" w:rsidRPr="00244DF1" w:rsidRDefault="00157E59" w:rsidP="00157E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>О приеме в члены СРО ААС</w:t>
      </w:r>
    </w:p>
    <w:p w:rsidR="00157E59" w:rsidRPr="00244DF1" w:rsidRDefault="00157E59" w:rsidP="00157E5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57E59" w:rsidRPr="00244DF1" w:rsidRDefault="00157E59" w:rsidP="00157E5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lastRenderedPageBreak/>
        <w:t>Решили:</w:t>
      </w:r>
    </w:p>
    <w:p w:rsidR="00157E59" w:rsidRPr="00244DF1" w:rsidRDefault="00157E59" w:rsidP="00157E59">
      <w:pPr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>2.1. Принять в члены СРО ААС 11 аудиторов: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Бобровник Евгений Викторович, Краснодарский край;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Воронина Людмила Алексеевна, Хабаровский край;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Гришина Наталья Георгиевна, Ивановская область;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Ежкова Елена Борисовна, г. Москва;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Ковалевская Ольга Николаевна, Московская область;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Кугаев Владимир Васильевич, Московская область;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Кузнецова Екатерина Анатольевна, Красноярский край;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Лукашенко Татьяна Анатольевна, Республика Саха (Якутия);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Семенов Александр Анатольевич, Тверская область;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Тутунина Татьяна Сергеевна, г. Санкт-Петербург;</w:t>
      </w:r>
    </w:p>
    <w:p w:rsidR="00157E59" w:rsidRPr="00244DF1" w:rsidRDefault="00157E59" w:rsidP="00157E59">
      <w:pPr>
        <w:pStyle w:val="ad"/>
        <w:numPr>
          <w:ilvl w:val="0"/>
          <w:numId w:val="1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Харисов Ильдар Камилович, Республика Татарстан.</w:t>
      </w:r>
    </w:p>
    <w:p w:rsidR="00157E59" w:rsidRPr="00244DF1" w:rsidRDefault="00157E59" w:rsidP="00157E59">
      <w:pPr>
        <w:tabs>
          <w:tab w:val="left" w:pos="432"/>
          <w:tab w:val="left" w:pos="993"/>
        </w:tabs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>Решение принято единогласно</w:t>
      </w:r>
    </w:p>
    <w:p w:rsidR="00157E59" w:rsidRPr="00244DF1" w:rsidRDefault="00157E59" w:rsidP="00157E59">
      <w:pPr>
        <w:jc w:val="both"/>
        <w:rPr>
          <w:b/>
          <w:sz w:val="26"/>
          <w:szCs w:val="26"/>
        </w:rPr>
      </w:pPr>
    </w:p>
    <w:p w:rsidR="00157E59" w:rsidRPr="00244DF1" w:rsidRDefault="00157E59" w:rsidP="00157E59">
      <w:pPr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>2.2. Принять в члены СРО ААС 4 аудиторские организации:</w:t>
      </w:r>
    </w:p>
    <w:p w:rsidR="00157E59" w:rsidRPr="00244DF1" w:rsidRDefault="00157E59" w:rsidP="00157E59">
      <w:pPr>
        <w:pStyle w:val="ad"/>
        <w:numPr>
          <w:ilvl w:val="0"/>
          <w:numId w:val="19"/>
        </w:numPr>
        <w:tabs>
          <w:tab w:val="left" w:pos="1276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ООО «БИЗНЕС-АУДИТ», Республика Калмыкия;</w:t>
      </w:r>
    </w:p>
    <w:p w:rsidR="00157E59" w:rsidRPr="00244DF1" w:rsidRDefault="00157E59" w:rsidP="00157E59">
      <w:pPr>
        <w:pStyle w:val="ad"/>
        <w:numPr>
          <w:ilvl w:val="0"/>
          <w:numId w:val="19"/>
        </w:numPr>
        <w:tabs>
          <w:tab w:val="left" w:pos="1276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ООО «БизнесВариант», г. Москва;</w:t>
      </w:r>
    </w:p>
    <w:p w:rsidR="00157E59" w:rsidRPr="00244DF1" w:rsidRDefault="00157E59" w:rsidP="00157E59">
      <w:pPr>
        <w:pStyle w:val="ad"/>
        <w:numPr>
          <w:ilvl w:val="0"/>
          <w:numId w:val="19"/>
        </w:numPr>
        <w:tabs>
          <w:tab w:val="left" w:pos="1276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ООО «ЛЕВИ Старт», Ростовская область.</w:t>
      </w:r>
    </w:p>
    <w:p w:rsidR="00157E59" w:rsidRPr="00244DF1" w:rsidRDefault="00157E59" w:rsidP="00157E59">
      <w:pPr>
        <w:pStyle w:val="ad"/>
        <w:numPr>
          <w:ilvl w:val="0"/>
          <w:numId w:val="19"/>
        </w:numPr>
        <w:tabs>
          <w:tab w:val="left" w:pos="1276"/>
        </w:tabs>
        <w:jc w:val="both"/>
        <w:rPr>
          <w:sz w:val="26"/>
          <w:szCs w:val="26"/>
        </w:rPr>
      </w:pPr>
      <w:r w:rsidRPr="00244DF1">
        <w:rPr>
          <w:sz w:val="26"/>
          <w:szCs w:val="26"/>
        </w:rPr>
        <w:t>ООО «фирма Финаудит», г. Москва.</w:t>
      </w:r>
    </w:p>
    <w:p w:rsidR="00157E59" w:rsidRPr="00244DF1" w:rsidRDefault="00157E59" w:rsidP="00157E59">
      <w:pPr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>Решение принято единогласно</w:t>
      </w:r>
    </w:p>
    <w:p w:rsidR="00157E59" w:rsidRDefault="00157E59" w:rsidP="00157E5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57E59" w:rsidRPr="00244DF1" w:rsidRDefault="00157E59" w:rsidP="00157E5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44DF1">
        <w:rPr>
          <w:b/>
          <w:i/>
          <w:sz w:val="26"/>
          <w:szCs w:val="26"/>
          <w:u w:val="single"/>
        </w:rPr>
        <w:t>По третьему вопросу</w:t>
      </w:r>
    </w:p>
    <w:p w:rsidR="00157E59" w:rsidRPr="00244DF1" w:rsidRDefault="00157E59" w:rsidP="00157E59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 xml:space="preserve">О приеме в члены и внесении образовательных организаций в Реестр УМЦ СРО ААС </w:t>
      </w:r>
    </w:p>
    <w:p w:rsidR="00157E59" w:rsidRPr="00244DF1" w:rsidRDefault="00157E59" w:rsidP="00157E5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57E59" w:rsidRPr="00244DF1" w:rsidRDefault="00157E59" w:rsidP="00157E5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>Решили:</w:t>
      </w:r>
    </w:p>
    <w:p w:rsidR="00157E59" w:rsidRPr="00244DF1" w:rsidRDefault="00157E59" w:rsidP="00157E59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244DF1">
        <w:rPr>
          <w:b/>
          <w:sz w:val="26"/>
          <w:szCs w:val="26"/>
        </w:rPr>
        <w:t xml:space="preserve">3.1. </w:t>
      </w:r>
      <w:r w:rsidRPr="00244DF1">
        <w:rPr>
          <w:rFonts w:eastAsiaTheme="minorHAnsi"/>
          <w:b/>
          <w:sz w:val="26"/>
          <w:szCs w:val="26"/>
          <w:lang w:eastAsia="en-US"/>
        </w:rPr>
        <w:t>Принять в члены СРО ААС 3 образовательные организации:</w:t>
      </w:r>
    </w:p>
    <w:p w:rsidR="00157E59" w:rsidRPr="00244DF1" w:rsidRDefault="00157E59" w:rsidP="00157E59">
      <w:pPr>
        <w:pStyle w:val="ad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244DF1">
        <w:rPr>
          <w:rFonts w:eastAsiaTheme="minorHAnsi"/>
          <w:sz w:val="26"/>
          <w:szCs w:val="26"/>
          <w:lang w:eastAsia="en-US"/>
        </w:rPr>
        <w:t>НЧОУ ДПО «Профессиональный бухгалтер»;</w:t>
      </w:r>
    </w:p>
    <w:p w:rsidR="00157E59" w:rsidRDefault="00157E59" w:rsidP="00157E59">
      <w:pPr>
        <w:pStyle w:val="ad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244DF1">
        <w:rPr>
          <w:rFonts w:eastAsiaTheme="minorHAnsi"/>
          <w:sz w:val="26"/>
          <w:szCs w:val="26"/>
          <w:lang w:eastAsia="en-US"/>
        </w:rPr>
        <w:t>ЧОУ ДПО «Учебный центр «Ваш СоветникЪ»;</w:t>
      </w:r>
    </w:p>
    <w:p w:rsidR="00157E59" w:rsidRPr="00244DF1" w:rsidRDefault="00157E59" w:rsidP="00157E59">
      <w:pPr>
        <w:pStyle w:val="ad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244DF1">
        <w:rPr>
          <w:rFonts w:eastAsiaTheme="minorHAnsi"/>
          <w:sz w:val="26"/>
          <w:szCs w:val="26"/>
          <w:lang w:eastAsia="en-US"/>
        </w:rPr>
        <w:t>ЧОУ ДПО «Учебно-методический центр «Аудит-Сервис».</w:t>
      </w:r>
    </w:p>
    <w:p w:rsidR="00157E59" w:rsidRPr="00244DF1" w:rsidRDefault="00157E59" w:rsidP="00157E59">
      <w:pPr>
        <w:ind w:right="125"/>
        <w:jc w:val="both"/>
        <w:rPr>
          <w:rFonts w:eastAsiaTheme="minorHAnsi"/>
          <w:b/>
          <w:sz w:val="26"/>
          <w:szCs w:val="26"/>
          <w:lang w:eastAsia="en-US"/>
        </w:rPr>
      </w:pPr>
      <w:r w:rsidRPr="00244DF1">
        <w:rPr>
          <w:rFonts w:eastAsiaTheme="minorHAnsi"/>
          <w:b/>
          <w:sz w:val="26"/>
          <w:szCs w:val="26"/>
          <w:lang w:eastAsia="en-US"/>
        </w:rPr>
        <w:t>Решение принято единогласно</w:t>
      </w:r>
    </w:p>
    <w:p w:rsidR="00157E59" w:rsidRPr="00244DF1" w:rsidRDefault="00157E59" w:rsidP="00157E59">
      <w:pPr>
        <w:ind w:left="142" w:right="125"/>
        <w:jc w:val="both"/>
        <w:rPr>
          <w:rFonts w:eastAsiaTheme="minorHAnsi"/>
          <w:b/>
          <w:sz w:val="26"/>
          <w:szCs w:val="26"/>
          <w:lang w:eastAsia="en-US"/>
        </w:rPr>
      </w:pPr>
    </w:p>
    <w:p w:rsidR="00157E59" w:rsidRPr="00157E59" w:rsidRDefault="00157E59" w:rsidP="00157E59">
      <w:pPr>
        <w:pStyle w:val="ad"/>
        <w:numPr>
          <w:ilvl w:val="1"/>
          <w:numId w:val="20"/>
        </w:numPr>
        <w:tabs>
          <w:tab w:val="left" w:pos="432"/>
          <w:tab w:val="left" w:pos="709"/>
        </w:tabs>
        <w:ind w:left="0" w:firstLine="0"/>
        <w:jc w:val="both"/>
        <w:rPr>
          <w:rFonts w:eastAsiaTheme="minorHAnsi"/>
          <w:b/>
          <w:sz w:val="26"/>
          <w:szCs w:val="26"/>
          <w:lang w:eastAsia="en-US"/>
        </w:rPr>
      </w:pPr>
      <w:r w:rsidRPr="00157E59">
        <w:rPr>
          <w:rFonts w:eastAsiaTheme="minorHAnsi"/>
          <w:b/>
          <w:sz w:val="26"/>
          <w:szCs w:val="26"/>
          <w:lang w:eastAsia="en-US"/>
        </w:rPr>
        <w:t>Внести в Реестр учебно-методических центров СРО ААС в соответствии с заключением Комитета по профессиональному образованию СРО ААС (протокол № 101 от 17.04.2017 г.) 9 (Девять) образовательных организаций:</w:t>
      </w:r>
    </w:p>
    <w:p w:rsidR="00157E59" w:rsidRPr="00157E59" w:rsidRDefault="00157E59" w:rsidP="00157E59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TableNormal"/>
        <w:tblpPr w:leftFromText="180" w:rightFromText="180" w:vertAnchor="text" w:tblpX="-9" w:tblpY="1"/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576"/>
        <w:gridCol w:w="842"/>
        <w:gridCol w:w="4252"/>
        <w:gridCol w:w="1560"/>
        <w:gridCol w:w="2400"/>
      </w:tblGrid>
      <w:tr w:rsidR="00157E59" w:rsidRPr="00244DF1" w:rsidTr="00157E59">
        <w:trPr>
          <w:trHeight w:hRule="exact" w:val="874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lang w:val="ru-RU"/>
              </w:rPr>
              <w:t>пп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hanging="9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lang w:val="ru-RU"/>
              </w:rPr>
              <w:t>Номер    УМЦ</w:t>
            </w:r>
          </w:p>
          <w:p w:rsidR="00157E59" w:rsidRPr="00244DF1" w:rsidRDefault="00157E59" w:rsidP="00157E59">
            <w:pPr>
              <w:pStyle w:val="TableParagraph"/>
              <w:ind w:hanging="9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lang w:val="ru-RU"/>
              </w:rPr>
              <w:t>(старый)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right="125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lang w:val="ru-RU"/>
              </w:rPr>
              <w:t>Название УМЦ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right="-142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lang w:val="ru-RU"/>
              </w:rPr>
              <w:t xml:space="preserve">Членство в </w:t>
            </w:r>
          </w:p>
          <w:p w:rsidR="00157E59" w:rsidRPr="00244DF1" w:rsidRDefault="00157E59" w:rsidP="00157E59">
            <w:pPr>
              <w:pStyle w:val="TableParagraph"/>
              <w:ind w:left="-283" w:right="-142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lang w:val="ru-RU"/>
              </w:rPr>
              <w:t>СРО</w:t>
            </w:r>
            <w:r w:rsidRPr="00244DF1">
              <w:rPr>
                <w:rFonts w:ascii="Times New Roman" w:hAnsi="Times New Roman" w:cs="Times New Roman"/>
              </w:rPr>
              <w:t xml:space="preserve"> </w:t>
            </w:r>
            <w:r w:rsidRPr="00244DF1">
              <w:rPr>
                <w:rFonts w:ascii="Times New Roman" w:eastAsia="Tahoma" w:hAnsi="Times New Roman" w:cs="Times New Roman"/>
                <w:lang w:val="ru-RU"/>
              </w:rPr>
              <w:t>ААС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right="549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lang w:val="ru-RU"/>
              </w:rPr>
              <w:t>Город</w:t>
            </w:r>
          </w:p>
        </w:tc>
      </w:tr>
      <w:tr w:rsidR="00157E59" w:rsidRPr="00244DF1" w:rsidTr="00157E59">
        <w:trPr>
          <w:trHeight w:hRule="exact" w:val="128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b/>
                <w:lang w:val="ru-RU"/>
              </w:rPr>
              <w:t>09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ФГБОУ ВО «Санкт-Петербургский государственный университет» </w:t>
            </w:r>
          </w:p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ОГРН 1037800006089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Член СРО ААС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 с 2010 г.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199034, г</w:t>
            </w:r>
            <w:r w:rsidRPr="00244DF1">
              <w:rPr>
                <w:rFonts w:ascii="Times New Roman" w:hAnsi="Times New Roman" w:cs="Times New Roman"/>
                <w:b/>
                <w:lang w:val="ru-RU"/>
              </w:rPr>
              <w:t>. Санкт-Петербург,</w:t>
            </w:r>
            <w:r w:rsidRPr="00244DF1">
              <w:rPr>
                <w:rFonts w:ascii="Times New Roman" w:hAnsi="Times New Roman" w:cs="Times New Roman"/>
                <w:lang w:val="ru-RU"/>
              </w:rPr>
              <w:t xml:space="preserve"> Университетская набережная, д. 7/9</w:t>
            </w:r>
          </w:p>
        </w:tc>
      </w:tr>
      <w:tr w:rsidR="00157E59" w:rsidRPr="00244DF1" w:rsidTr="00157E59">
        <w:trPr>
          <w:trHeight w:hRule="exact" w:val="88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b/>
                <w:lang w:val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ФГБОУ ВО «Российский экономический университет имени Г.В. Плеханова» </w:t>
            </w:r>
          </w:p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ОГРН 1037700012008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Член СРО ААС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 с 2010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117997, </w:t>
            </w:r>
            <w:r w:rsidRPr="00244DF1">
              <w:rPr>
                <w:rFonts w:ascii="Times New Roman" w:hAnsi="Times New Roman" w:cs="Times New Roman"/>
                <w:b/>
                <w:lang w:val="ru-RU"/>
              </w:rPr>
              <w:t>г. Москва,</w:t>
            </w:r>
            <w:r w:rsidRPr="00244DF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Стремянный переулок, д. 36</w:t>
            </w:r>
          </w:p>
        </w:tc>
      </w:tr>
      <w:tr w:rsidR="00157E59" w:rsidRPr="00244DF1" w:rsidTr="00157E59">
        <w:trPr>
          <w:trHeight w:hRule="exact" w:val="1148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b/>
                <w:lang w:val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ФГБОУ ВО «Санкт-Петербургский государстве</w:t>
            </w:r>
            <w:r>
              <w:rPr>
                <w:rFonts w:ascii="Times New Roman" w:hAnsi="Times New Roman" w:cs="Times New Roman"/>
                <w:lang w:val="ru-RU"/>
              </w:rPr>
              <w:t>нный экономический университет»</w:t>
            </w:r>
          </w:p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ОГРН 1129847034570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Член СРО ААС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 с 2010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191023, </w:t>
            </w:r>
            <w:r w:rsidRPr="00244DF1">
              <w:rPr>
                <w:rFonts w:ascii="Times New Roman" w:hAnsi="Times New Roman" w:cs="Times New Roman"/>
                <w:b/>
                <w:lang w:val="ru-RU"/>
              </w:rPr>
              <w:t xml:space="preserve">г. Санкт-Петербург, 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ул. Садовая, д. 21</w:t>
            </w:r>
          </w:p>
        </w:tc>
      </w:tr>
      <w:tr w:rsidR="00157E59" w:rsidRPr="00244DF1" w:rsidTr="00157E59">
        <w:trPr>
          <w:trHeight w:hRule="exact" w:val="1128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4DF1"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4DF1">
              <w:rPr>
                <w:rFonts w:ascii="Times New Roman" w:hAnsi="Times New Roman" w:cs="Times New Roman"/>
                <w:b/>
                <w:lang w:val="ru-RU"/>
              </w:rPr>
              <w:t>(42)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Ассоциация ДПО «Центр профессиональной подготовки и консалтинга «СБ-ЭКО» </w:t>
            </w:r>
          </w:p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ОГРН 1034205026745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Член СРО ААС 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с 2012 г.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650000</w:t>
            </w:r>
            <w:r w:rsidRPr="00244DF1">
              <w:rPr>
                <w:rFonts w:ascii="Times New Roman" w:hAnsi="Times New Roman" w:cs="Times New Roman"/>
                <w:b/>
                <w:lang w:val="ru-RU"/>
              </w:rPr>
              <w:t>, г. Кемерово,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ул. Мичурина, д. 13, оф.310</w:t>
            </w:r>
          </w:p>
        </w:tc>
      </w:tr>
      <w:tr w:rsidR="00157E59" w:rsidRPr="00244DF1" w:rsidTr="00157E59">
        <w:trPr>
          <w:trHeight w:hRule="exact" w:val="843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4DF1"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4DF1">
              <w:rPr>
                <w:rFonts w:ascii="Times New Roman" w:hAnsi="Times New Roman" w:cs="Times New Roman"/>
                <w:b/>
                <w:lang w:val="ru-RU"/>
              </w:rPr>
              <w:t>(47)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ЧОУ ВО «Международный институт рынка» </w:t>
            </w:r>
          </w:p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ОГРН 1026301174635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Член СРО ААС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 с 2013 г.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443030, </w:t>
            </w:r>
            <w:r w:rsidRPr="00244DF1">
              <w:rPr>
                <w:rFonts w:ascii="Times New Roman" w:hAnsi="Times New Roman" w:cs="Times New Roman"/>
                <w:b/>
                <w:lang w:val="ru-RU"/>
              </w:rPr>
              <w:t xml:space="preserve">г. Самара, 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ул. Г.С. Аксакова, д. 21</w:t>
            </w:r>
          </w:p>
        </w:tc>
      </w:tr>
      <w:tr w:rsidR="00157E59" w:rsidRPr="00244DF1" w:rsidTr="00157E59">
        <w:trPr>
          <w:trHeight w:hRule="exact" w:val="755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b/>
                <w:lang w:val="ru-RU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ООО «АУДИТ-Партнер» </w:t>
            </w:r>
          </w:p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ОГРН 1027100518390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Член СРО ААС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 с 2016 г.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lang w:val="ru-RU"/>
              </w:rPr>
              <w:t>300041</w:t>
            </w:r>
            <w:r w:rsidRPr="00244DF1">
              <w:rPr>
                <w:rFonts w:ascii="Times New Roman" w:eastAsia="Tahoma" w:hAnsi="Times New Roman" w:cs="Times New Roman"/>
                <w:b/>
                <w:lang w:val="ru-RU"/>
              </w:rPr>
              <w:t>, г. Тула,</w:t>
            </w:r>
            <w:r w:rsidRPr="00244DF1">
              <w:rPr>
                <w:rFonts w:ascii="Times New Roman" w:eastAsia="Tahoma" w:hAnsi="Times New Roman" w:cs="Times New Roman"/>
                <w:lang w:val="ru-RU"/>
              </w:rPr>
              <w:t xml:space="preserve"> 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lang w:val="ru-RU"/>
              </w:rPr>
              <w:t>ул. Тургеневская, д. 48а</w:t>
            </w:r>
          </w:p>
        </w:tc>
      </w:tr>
      <w:tr w:rsidR="00157E59" w:rsidRPr="00244DF1" w:rsidTr="00157E59">
        <w:trPr>
          <w:trHeight w:hRule="exact" w:val="897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b/>
                <w:lang w:val="ru-RU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НЧОУ ДПО «Профессиональный бухгалтер» 1036301054437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Не является членом СРО ААС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445044, </w:t>
            </w:r>
            <w:r w:rsidRPr="00244DF1">
              <w:rPr>
                <w:rFonts w:ascii="Times New Roman" w:hAnsi="Times New Roman" w:cs="Times New Roman"/>
                <w:b/>
                <w:lang w:val="ru-RU"/>
              </w:rPr>
              <w:t>г. Тольятти</w:t>
            </w:r>
            <w:r w:rsidRPr="00244DF1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57E59" w:rsidRPr="00244DF1" w:rsidRDefault="00157E59" w:rsidP="00157E5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 ул. Офицерская, д. 35, офис 8</w:t>
            </w:r>
          </w:p>
        </w:tc>
      </w:tr>
      <w:tr w:rsidR="00157E59" w:rsidRPr="00244DF1" w:rsidTr="00157E59">
        <w:trPr>
          <w:trHeight w:hRule="exact" w:val="880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b/>
                <w:lang w:val="ru-RU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ЧОУ ДПО «Учебный центр «Ваш СоветникЪ», </w:t>
            </w:r>
          </w:p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1052305701326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Не является членом СРО ААС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 350015, </w:t>
            </w:r>
            <w:r w:rsidRPr="00244DF1">
              <w:rPr>
                <w:rFonts w:ascii="Times New Roman" w:hAnsi="Times New Roman" w:cs="Times New Roman"/>
                <w:b/>
                <w:lang w:val="ru-RU"/>
              </w:rPr>
              <w:t>г. Краснодар,</w:t>
            </w:r>
            <w:r w:rsidRPr="00244DF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ул. Красная, д. 154</w:t>
            </w:r>
          </w:p>
        </w:tc>
      </w:tr>
      <w:tr w:rsidR="00157E59" w:rsidRPr="00244DF1" w:rsidTr="00157E59">
        <w:trPr>
          <w:trHeight w:hRule="exact" w:val="890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244DF1">
              <w:rPr>
                <w:rFonts w:ascii="Times New Roman" w:eastAsia="Tahoma" w:hAnsi="Times New Roman" w:cs="Times New Roman"/>
                <w:b/>
                <w:lang w:val="ru-RU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ЧОУ ДПО «Учебно-методический центр </w:t>
            </w:r>
          </w:p>
          <w:p w:rsidR="00157E59" w:rsidRPr="00244DF1" w:rsidRDefault="00157E59" w:rsidP="00157E59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«Аудит-Сервис», 1027200826828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Не является членом СРО ААС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 xml:space="preserve">625035, </w:t>
            </w:r>
            <w:r w:rsidRPr="00244DF1">
              <w:rPr>
                <w:rFonts w:ascii="Times New Roman" w:hAnsi="Times New Roman" w:cs="Times New Roman"/>
                <w:b/>
                <w:lang w:val="ru-RU"/>
              </w:rPr>
              <w:t xml:space="preserve">г. Тюмень, </w:t>
            </w:r>
          </w:p>
          <w:p w:rsidR="00157E59" w:rsidRPr="00244DF1" w:rsidRDefault="00157E59" w:rsidP="00157E59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4DF1">
              <w:rPr>
                <w:rFonts w:ascii="Times New Roman" w:hAnsi="Times New Roman" w:cs="Times New Roman"/>
                <w:lang w:val="ru-RU"/>
              </w:rPr>
              <w:t>ул. Республики, д. 160</w:t>
            </w:r>
          </w:p>
        </w:tc>
      </w:tr>
    </w:tbl>
    <w:p w:rsidR="00157E59" w:rsidRPr="00244DF1" w:rsidRDefault="00157E59" w:rsidP="00157E5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44DF1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157E59">
      <w:footerReference w:type="even" r:id="rId10"/>
      <w:footerReference w:type="default" r:id="rId11"/>
      <w:pgSz w:w="11906" w:h="16838"/>
      <w:pgMar w:top="567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64" w:rsidRDefault="00ED0F64">
      <w:r>
        <w:separator/>
      </w:r>
    </w:p>
  </w:endnote>
  <w:endnote w:type="continuationSeparator" w:id="0">
    <w:p w:rsidR="00ED0F64" w:rsidRDefault="00E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64" w:rsidRDefault="00ED0F6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D0F64" w:rsidRDefault="00ED0F6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64" w:rsidRPr="001E7A08" w:rsidRDefault="00ED0F64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157E59">
      <w:rPr>
        <w:i/>
        <w:lang w:val="ru-RU"/>
      </w:rPr>
      <w:t>311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157E59">
      <w:rPr>
        <w:i/>
        <w:lang w:val="ru-RU"/>
      </w:rPr>
      <w:t>20</w:t>
    </w:r>
    <w:r>
      <w:rPr>
        <w:i/>
        <w:lang w:val="ru-RU"/>
      </w:rPr>
      <w:t xml:space="preserve"> апреля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="00157E59">
      <w:rPr>
        <w:i/>
        <w:lang w:val="ru-RU"/>
      </w:rPr>
      <w:t xml:space="preserve">      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47397E" w:rsidRPr="0047397E">
      <w:rPr>
        <w:i/>
        <w:noProof/>
        <w:lang w:val="ru-RU"/>
      </w:rPr>
      <w:t>3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213E8F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64" w:rsidRDefault="00ED0F64">
      <w:r>
        <w:separator/>
      </w:r>
    </w:p>
  </w:footnote>
  <w:footnote w:type="continuationSeparator" w:id="0">
    <w:p w:rsidR="00ED0F64" w:rsidRDefault="00ED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15"/>
  </w:num>
  <w:num w:numId="7">
    <w:abstractNumId w:val="2"/>
  </w:num>
  <w:num w:numId="8">
    <w:abstractNumId w:val="17"/>
  </w:num>
  <w:num w:numId="9">
    <w:abstractNumId w:val="8"/>
  </w:num>
  <w:num w:numId="10">
    <w:abstractNumId w:val="16"/>
  </w:num>
  <w:num w:numId="11">
    <w:abstractNumId w:val="20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7"/>
  </w:num>
  <w:num w:numId="17">
    <w:abstractNumId w:val="3"/>
  </w:num>
  <w:num w:numId="18">
    <w:abstractNumId w:val="21"/>
  </w:num>
  <w:num w:numId="19">
    <w:abstractNumId w:val="13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397E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2DEF-CC3F-48B4-9373-BF0480A2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51CE445C</Template>
  <TotalTime>0</TotalTime>
  <Pages>3</Pages>
  <Words>656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4788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2017-04-21T08:07:00Z</dcterms:created>
  <dcterms:modified xsi:type="dcterms:W3CDTF">2017-04-21T08:07:00Z</dcterms:modified>
</cp:coreProperties>
</file>