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39CE" w14:textId="77777777" w:rsidR="00A60234" w:rsidRPr="00075823" w:rsidRDefault="00A60234" w:rsidP="00A60234">
      <w:pPr>
        <w:pStyle w:val="msonormalmrcssattrmrcssattr"/>
        <w:spacing w:before="0" w:beforeAutospacing="0" w:after="0" w:afterAutospacing="0"/>
        <w:ind w:left="4395"/>
      </w:pPr>
      <w:bookmarkStart w:id="0" w:name="_Hlk107229602"/>
      <w:r>
        <w:t xml:space="preserve">                            </w:t>
      </w:r>
      <w:r w:rsidRPr="00075823">
        <w:t>Утверждено</w:t>
      </w:r>
    </w:p>
    <w:p w14:paraId="274D6D9A" w14:textId="77777777" w:rsidR="00A60234" w:rsidRPr="00075823" w:rsidRDefault="00A60234" w:rsidP="00A60234">
      <w:pPr>
        <w:pStyle w:val="msonormalmrcssattrmrcssattr"/>
        <w:spacing w:before="0" w:beforeAutospacing="0" w:after="0" w:afterAutospacing="0"/>
        <w:ind w:left="4395"/>
        <w:jc w:val="center"/>
      </w:pPr>
      <w:r w:rsidRPr="00075823">
        <w:t>и рекомендовано к применению аудиторами</w:t>
      </w:r>
    </w:p>
    <w:p w14:paraId="607277A6" w14:textId="77777777" w:rsidR="00A60234" w:rsidRPr="00075823" w:rsidRDefault="00A60234" w:rsidP="00A60234">
      <w:pPr>
        <w:pStyle w:val="msonormalmrcssattrmrcssattr"/>
        <w:spacing w:before="0" w:beforeAutospacing="0" w:after="0" w:afterAutospacing="0"/>
        <w:ind w:left="4395"/>
        <w:jc w:val="center"/>
      </w:pPr>
      <w:r w:rsidRPr="00075823">
        <w:t xml:space="preserve">Комитетом </w:t>
      </w:r>
      <w:r w:rsidRPr="00075823">
        <w:rPr>
          <w:bCs/>
          <w:shd w:val="clear" w:color="auto" w:fill="FFFFFF"/>
        </w:rPr>
        <w:t>СРО ААС по противодействию коррупции легализации (отмыванию) доходов, полученных     преступным путем, и финансированию терроризма</w:t>
      </w:r>
    </w:p>
    <w:p w14:paraId="2264F8D1" w14:textId="77777777" w:rsidR="00A60234" w:rsidRDefault="00A60234" w:rsidP="00A60234">
      <w:pPr>
        <w:pStyle w:val="msonormalmrcssattrmrcssattr"/>
        <w:spacing w:before="0" w:beforeAutospacing="0" w:after="0" w:afterAutospacing="0"/>
        <w:ind w:left="4395"/>
        <w:jc w:val="center"/>
        <w:rPr>
          <w:bCs/>
          <w:shd w:val="clear" w:color="auto" w:fill="FFFFFF"/>
        </w:rPr>
      </w:pPr>
      <w:r w:rsidRPr="00075823">
        <w:rPr>
          <w:bCs/>
          <w:shd w:val="clear" w:color="auto" w:fill="FFFFFF"/>
        </w:rPr>
        <w:t xml:space="preserve">Протокол от </w:t>
      </w:r>
      <w:r>
        <w:rPr>
          <w:bCs/>
          <w:shd w:val="clear" w:color="auto" w:fill="FFFFFF"/>
        </w:rPr>
        <w:t>20</w:t>
      </w:r>
      <w:r w:rsidRPr="00075823">
        <w:rPr>
          <w:bCs/>
          <w:shd w:val="clear" w:color="auto" w:fill="FFFFFF"/>
        </w:rPr>
        <w:t>.</w:t>
      </w:r>
      <w:r>
        <w:rPr>
          <w:bCs/>
          <w:shd w:val="clear" w:color="auto" w:fill="FFFFFF"/>
        </w:rPr>
        <w:t>06</w:t>
      </w:r>
      <w:r w:rsidRPr="00075823">
        <w:rPr>
          <w:bCs/>
          <w:shd w:val="clear" w:color="auto" w:fill="FFFFFF"/>
        </w:rPr>
        <w:t>.202</w:t>
      </w:r>
      <w:r>
        <w:rPr>
          <w:bCs/>
          <w:shd w:val="clear" w:color="auto" w:fill="FFFFFF"/>
        </w:rPr>
        <w:t>3</w:t>
      </w:r>
      <w:r w:rsidRPr="00075823">
        <w:rPr>
          <w:bCs/>
          <w:shd w:val="clear" w:color="auto" w:fill="FFFFFF"/>
        </w:rPr>
        <w:t xml:space="preserve"> г. № </w:t>
      </w:r>
      <w:r>
        <w:rPr>
          <w:bCs/>
          <w:shd w:val="clear" w:color="auto" w:fill="FFFFFF"/>
        </w:rPr>
        <w:t>97</w:t>
      </w:r>
    </w:p>
    <w:p w14:paraId="271AD267" w14:textId="77777777" w:rsidR="00A60234" w:rsidRPr="00075823" w:rsidRDefault="00A60234" w:rsidP="00A60234">
      <w:pPr>
        <w:pStyle w:val="msonormalmrcssattrmrcssattr"/>
        <w:spacing w:before="0" w:beforeAutospacing="0" w:after="0" w:afterAutospacing="0"/>
        <w:ind w:left="4395"/>
        <w:jc w:val="center"/>
        <w:rPr>
          <w:bCs/>
          <w:shd w:val="clear" w:color="auto" w:fill="FFFFFF"/>
        </w:rPr>
      </w:pPr>
    </w:p>
    <w:p w14:paraId="5FEAB734" w14:textId="77777777" w:rsidR="00A60234" w:rsidRDefault="00A60234" w:rsidP="00A60234">
      <w:pPr>
        <w:ind w:firstLine="709"/>
        <w:contextualSpacing/>
        <w:jc w:val="center"/>
        <w:rPr>
          <w:b/>
        </w:rPr>
      </w:pPr>
    </w:p>
    <w:p w14:paraId="490EAD03" w14:textId="6C0A3D9E" w:rsidR="001A1BB4" w:rsidRPr="00A60234" w:rsidRDefault="001A1BB4" w:rsidP="00A60234">
      <w:pPr>
        <w:ind w:firstLine="709"/>
        <w:contextualSpacing/>
        <w:jc w:val="center"/>
        <w:rPr>
          <w:b/>
        </w:rPr>
      </w:pPr>
      <w:r w:rsidRPr="00A60234">
        <w:rPr>
          <w:b/>
        </w:rPr>
        <w:t>РАЗЪЯСНЕНИЯ</w:t>
      </w:r>
    </w:p>
    <w:p w14:paraId="53101A64" w14:textId="5B39E57D" w:rsidR="001A1BB4" w:rsidRPr="00A60234" w:rsidRDefault="001A1BB4" w:rsidP="00A60234">
      <w:pPr>
        <w:ind w:firstLine="709"/>
        <w:contextualSpacing/>
        <w:jc w:val="center"/>
        <w:rPr>
          <w:b/>
        </w:rPr>
      </w:pPr>
      <w:r w:rsidRPr="00A60234">
        <w:rPr>
          <w:b/>
        </w:rPr>
        <w:t xml:space="preserve">ПО ВОПРОСАМ ПРОТИВОДЕЙСТВИЯ ЛЕГАЛИЗАЦИИ (ОТМЫВАНИЮ) ДОХОДОВ, ПОЛУЧЕННЫХ ПРЕСТУПНЫМ ПУТЕМ И ФИНАНСИРОВАНИЮ ТЕРРОРИЗМА ПРИ ОКАЗАНИИ АУДИТОРСКИХ УСЛУГ </w:t>
      </w:r>
      <w:r w:rsidR="00007941" w:rsidRPr="00A60234">
        <w:rPr>
          <w:b/>
        </w:rPr>
        <w:t>БАНКАМ</w:t>
      </w:r>
      <w:r w:rsidR="00DC5490" w:rsidRPr="00A60234">
        <w:rPr>
          <w:b/>
        </w:rPr>
        <w:t xml:space="preserve"> И КРЕДИТНЫМ ОРГАНИЗАЦИЯМ</w:t>
      </w:r>
    </w:p>
    <w:p w14:paraId="620DCB3A" w14:textId="77777777" w:rsidR="00DC0FAD" w:rsidRPr="00A60234" w:rsidRDefault="00DC0FAD" w:rsidP="00A60234">
      <w:pPr>
        <w:ind w:firstLine="709"/>
        <w:contextualSpacing/>
        <w:jc w:val="both"/>
        <w:rPr>
          <w:b/>
        </w:rPr>
      </w:pPr>
    </w:p>
    <w:p w14:paraId="2BD1410D" w14:textId="77777777" w:rsidR="001A1BB4" w:rsidRPr="00A60234" w:rsidRDefault="001A1BB4" w:rsidP="00A60234">
      <w:pPr>
        <w:ind w:firstLine="709"/>
        <w:contextualSpacing/>
        <w:jc w:val="both"/>
        <w:rPr>
          <w:b/>
        </w:rPr>
      </w:pPr>
    </w:p>
    <w:p w14:paraId="15B95795" w14:textId="1D089080" w:rsidR="001A1BB4" w:rsidRPr="00A60234" w:rsidRDefault="000A1C85" w:rsidP="00A60234">
      <w:pPr>
        <w:pStyle w:val="a3"/>
        <w:numPr>
          <w:ilvl w:val="0"/>
          <w:numId w:val="9"/>
        </w:numPr>
        <w:ind w:left="0" w:firstLine="11"/>
        <w:jc w:val="both"/>
        <w:rPr>
          <w:b/>
        </w:rPr>
      </w:pPr>
      <w:r w:rsidRPr="00A60234">
        <w:rPr>
          <w:b/>
        </w:rPr>
        <w:t>Сфера применения</w:t>
      </w:r>
    </w:p>
    <w:p w14:paraId="0261AA07" w14:textId="77777777" w:rsidR="000A1C85" w:rsidRPr="00A60234" w:rsidRDefault="000A1C85" w:rsidP="00A60234">
      <w:pPr>
        <w:pStyle w:val="a3"/>
        <w:ind w:left="0" w:firstLine="11"/>
        <w:jc w:val="both"/>
        <w:rPr>
          <w:b/>
        </w:rPr>
      </w:pPr>
    </w:p>
    <w:p w14:paraId="47699AC0" w14:textId="77777777" w:rsidR="000A1C85" w:rsidRPr="00A60234" w:rsidRDefault="000A1C85" w:rsidP="00A60234">
      <w:pPr>
        <w:autoSpaceDE w:val="0"/>
        <w:autoSpaceDN w:val="0"/>
        <w:adjustRightInd w:val="0"/>
        <w:ind w:firstLine="720"/>
        <w:jc w:val="both"/>
      </w:pPr>
      <w:r w:rsidRPr="00A60234">
        <w:t>Данные разъяснения направлены на вопросы требований Международных Стандартов Аудита (МСА) по рассмотрению соблюдения законодательства о противодействии ОД/ФТ/ФРОМУ. На уровне стандартов аудиторской деятельности рассмотрение соблюдения законодательства по ПОД/ФТ/ФРОМУ регламентируется, главным образом, МСА 240 «Обязанности аудитора в отношении недобросовестных действий при проведении аудита финансовой отчетности» и МСА 250 (пересмотренным) «Рассмотрение законов и нормативных актов в ходе аудита финансовой отчетности».</w:t>
      </w:r>
    </w:p>
    <w:p w14:paraId="16FF0DF1" w14:textId="501A9E00" w:rsidR="00FB231C" w:rsidRPr="00A60234" w:rsidRDefault="00FB231C" w:rsidP="00A6023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A60234">
        <w:rPr>
          <w:rFonts w:eastAsiaTheme="minorHAnsi"/>
          <w:lang w:eastAsia="en-US"/>
        </w:rPr>
        <w:t xml:space="preserve">Исходя из </w:t>
      </w:r>
      <w:r w:rsidRPr="00A60234">
        <w:t>Федеральног</w:t>
      </w:r>
      <w:r w:rsidR="00AB603B" w:rsidRPr="00A60234">
        <w:t xml:space="preserve">о закона от 07 августа </w:t>
      </w:r>
      <w:r w:rsidRPr="00A60234">
        <w:t>2001</w:t>
      </w:r>
      <w:r w:rsidR="00AB603B" w:rsidRPr="00A60234">
        <w:t xml:space="preserve"> г.</w:t>
      </w:r>
      <w:r w:rsidRPr="00A60234">
        <w:t xml:space="preserve"> № 115-ФЗ «О противодействии легализации (отмыванию) доходов, полученных преступным путем, и финансированию терроризма»</w:t>
      </w:r>
      <w:r w:rsidR="000B0AC8" w:rsidRPr="00A60234">
        <w:t xml:space="preserve"> (далее – Закон 115-ФЗ)</w:t>
      </w:r>
      <w:r w:rsidRPr="00A60234">
        <w:rPr>
          <w:rFonts w:eastAsiaTheme="minorHAnsi"/>
          <w:lang w:eastAsia="en-US"/>
        </w:rPr>
        <w:t xml:space="preserve">, при оказании аудиторских услуг аудиторские организации, индивидуальные аудиторы обязаны уведомлять Росфинмониторинг о любых основаниях полагать, что сделки или финансовые операции аудируемого лица осуществляются или могут быть осуществлены в целях </w:t>
      </w:r>
      <w:r w:rsidR="00DC0FAD" w:rsidRPr="00A60234">
        <w:rPr>
          <w:rFonts w:eastAsiaTheme="minorHAnsi"/>
          <w:lang w:eastAsia="en-US"/>
        </w:rPr>
        <w:t>П</w:t>
      </w:r>
      <w:r w:rsidRPr="00A60234">
        <w:rPr>
          <w:rFonts w:eastAsiaTheme="minorHAnsi"/>
          <w:lang w:eastAsia="en-US"/>
        </w:rPr>
        <w:t xml:space="preserve">ОД/ФТ. </w:t>
      </w:r>
    </w:p>
    <w:p w14:paraId="17AB3851" w14:textId="25DCCDB0" w:rsidR="00CE58B0" w:rsidRPr="00A60234" w:rsidRDefault="00CE58B0" w:rsidP="00A6023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A60234">
        <w:rPr>
          <w:rFonts w:eastAsiaTheme="minorHAnsi"/>
          <w:lang w:eastAsia="en-US"/>
        </w:rPr>
        <w:t xml:space="preserve">Кроме того, МСА 250 «Рассмотрение законов и иных нормативных актов в ходе </w:t>
      </w:r>
      <w:r w:rsidR="004115A2" w:rsidRPr="00A60234">
        <w:rPr>
          <w:rFonts w:eastAsiaTheme="minorHAnsi"/>
          <w:lang w:eastAsia="en-US"/>
        </w:rPr>
        <w:t>аудита» и</w:t>
      </w:r>
      <w:r w:rsidRPr="00A60234">
        <w:rPr>
          <w:rFonts w:eastAsiaTheme="minorHAnsi"/>
          <w:lang w:eastAsia="en-US"/>
        </w:rPr>
        <w:t xml:space="preserve"> МСА 315 «Выявление и оценка рисков существенного искажения посредством изучения организации и ее окружения» требуют проводить тестирование </w:t>
      </w:r>
      <w:r w:rsidR="00450BE9" w:rsidRPr="00A60234">
        <w:rPr>
          <w:rFonts w:eastAsiaTheme="minorHAnsi"/>
          <w:lang w:eastAsia="en-US"/>
        </w:rPr>
        <w:t>системы внутреннего контроля</w:t>
      </w:r>
      <w:r w:rsidR="00DC0FAD" w:rsidRPr="00A60234">
        <w:rPr>
          <w:rFonts w:eastAsiaTheme="minorHAnsi"/>
          <w:lang w:eastAsia="en-US"/>
        </w:rPr>
        <w:t xml:space="preserve">, созданной клиентом аудитора </w:t>
      </w:r>
      <w:r w:rsidR="00007941" w:rsidRPr="00A60234">
        <w:rPr>
          <w:rFonts w:eastAsiaTheme="minorHAnsi"/>
          <w:lang w:eastAsia="en-US"/>
        </w:rPr>
        <w:t>–</w:t>
      </w:r>
      <w:r w:rsidR="00DC0FAD" w:rsidRPr="00A60234">
        <w:rPr>
          <w:rFonts w:eastAsiaTheme="minorHAnsi"/>
          <w:lang w:eastAsia="en-US"/>
        </w:rPr>
        <w:t xml:space="preserve"> </w:t>
      </w:r>
      <w:r w:rsidR="00007941" w:rsidRPr="00A60234">
        <w:rPr>
          <w:rFonts w:eastAsiaTheme="minorHAnsi"/>
          <w:lang w:eastAsia="en-US"/>
        </w:rPr>
        <w:t>банком или кредитной организацией</w:t>
      </w:r>
      <w:r w:rsidR="00450BE9" w:rsidRPr="00A60234">
        <w:rPr>
          <w:rFonts w:eastAsiaTheme="minorHAnsi"/>
          <w:lang w:eastAsia="en-US"/>
        </w:rPr>
        <w:t xml:space="preserve">, являющейся самостоятельным субъектом </w:t>
      </w:r>
      <w:r w:rsidR="0055783B" w:rsidRPr="00A60234">
        <w:rPr>
          <w:rFonts w:eastAsiaTheme="minorHAnsi"/>
          <w:lang w:eastAsia="en-US"/>
        </w:rPr>
        <w:t>финансового мониторинга</w:t>
      </w:r>
      <w:r w:rsidR="00450BE9" w:rsidRPr="00A60234">
        <w:rPr>
          <w:rFonts w:eastAsiaTheme="minorHAnsi"/>
          <w:lang w:eastAsia="en-US"/>
        </w:rPr>
        <w:t>.</w:t>
      </w:r>
    </w:p>
    <w:p w14:paraId="4AD7A720" w14:textId="5CB2BD92" w:rsidR="00FB231C" w:rsidRPr="00A60234" w:rsidRDefault="00FB231C" w:rsidP="00A60234">
      <w:pPr>
        <w:autoSpaceDE w:val="0"/>
        <w:autoSpaceDN w:val="0"/>
        <w:adjustRightInd w:val="0"/>
        <w:ind w:firstLine="720"/>
        <w:jc w:val="both"/>
      </w:pPr>
      <w:r w:rsidRPr="00A60234">
        <w:t>Обязанность ув</w:t>
      </w:r>
      <w:r w:rsidR="0055783B" w:rsidRPr="00A60234">
        <w:t xml:space="preserve">едомлять Росфинмониторинг </w:t>
      </w:r>
      <w:r w:rsidRPr="00A60234">
        <w:t xml:space="preserve">распространяется на аудиторские организации и индивидуальных аудиторов </w:t>
      </w:r>
      <w:r w:rsidR="0055783B" w:rsidRPr="00A60234">
        <w:t xml:space="preserve">также </w:t>
      </w:r>
      <w:r w:rsidRPr="00A60234">
        <w:t>в случаях, когда при оказании прочих связанных с аудиторской деятельностью услуг они готовят или осуществляют от имени или по поручению своего клиента следующие операции с денежными средствами или иным имуществом:</w:t>
      </w:r>
    </w:p>
    <w:p w14:paraId="4E335628" w14:textId="77777777" w:rsidR="00FB231C" w:rsidRPr="00A60234" w:rsidRDefault="00FB231C" w:rsidP="00A60234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  <w:r w:rsidRPr="00A60234">
        <w:t>-</w:t>
      </w:r>
      <w:r w:rsidRPr="00A60234">
        <w:rPr>
          <w:rFonts w:eastAsiaTheme="minorHAnsi"/>
          <w:lang w:eastAsia="en-US"/>
        </w:rPr>
        <w:t xml:space="preserve"> сделки с недвижимым имуществом; </w:t>
      </w:r>
    </w:p>
    <w:p w14:paraId="227D2D13" w14:textId="77777777" w:rsidR="00FB231C" w:rsidRPr="00A60234" w:rsidRDefault="00FB231C" w:rsidP="00A60234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  <w:r w:rsidRPr="00A60234">
        <w:rPr>
          <w:rFonts w:eastAsiaTheme="minorHAnsi"/>
          <w:lang w:eastAsia="en-US"/>
        </w:rPr>
        <w:t xml:space="preserve">- управление денежными средствами, ценными бумагами или иным имуществом клиента; </w:t>
      </w:r>
    </w:p>
    <w:p w14:paraId="37370500" w14:textId="77777777" w:rsidR="00FB231C" w:rsidRPr="00A60234" w:rsidRDefault="00FB231C" w:rsidP="00A60234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  <w:r w:rsidRPr="00A60234">
        <w:rPr>
          <w:rFonts w:eastAsiaTheme="minorHAnsi"/>
          <w:lang w:eastAsia="en-US"/>
        </w:rPr>
        <w:t xml:space="preserve">- управление банковскими счетами или счетами ценных бумаг; </w:t>
      </w:r>
    </w:p>
    <w:p w14:paraId="54C79555" w14:textId="77777777" w:rsidR="00FB231C" w:rsidRPr="00A60234" w:rsidRDefault="00FB231C" w:rsidP="00A60234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  <w:r w:rsidRPr="00A60234">
        <w:rPr>
          <w:rFonts w:eastAsiaTheme="minorHAnsi"/>
          <w:lang w:eastAsia="en-US"/>
        </w:rPr>
        <w:t xml:space="preserve">- привлечение денежных средств для создания организаций, обеспечения их деятельности или управления ими; </w:t>
      </w:r>
    </w:p>
    <w:p w14:paraId="07B8D0E6" w14:textId="24F722DB" w:rsidR="00FB231C" w:rsidRPr="00A60234" w:rsidRDefault="00FB231C" w:rsidP="00A60234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  <w:r w:rsidRPr="00A60234">
        <w:rPr>
          <w:rFonts w:eastAsiaTheme="minorHAnsi"/>
          <w:lang w:eastAsia="en-US"/>
        </w:rPr>
        <w:t>- создание организаций, обеспечение их деятельности или управления ими, а также куплю-продажу организаций.</w:t>
      </w:r>
    </w:p>
    <w:p w14:paraId="3800EFF8" w14:textId="77777777" w:rsidR="00DC0FAD" w:rsidRPr="00A60234" w:rsidRDefault="00DC0FAD" w:rsidP="00A60234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</w:p>
    <w:p w14:paraId="2D21D653" w14:textId="45764DE1" w:rsidR="00FB231C" w:rsidRPr="00A60234" w:rsidRDefault="00DC5490" w:rsidP="00A60234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11"/>
        <w:jc w:val="both"/>
      </w:pPr>
      <w:r w:rsidRPr="00A60234">
        <w:rPr>
          <w:b/>
        </w:rPr>
        <w:lastRenderedPageBreak/>
        <w:t>Банки</w:t>
      </w:r>
      <w:r w:rsidR="00007941" w:rsidRPr="00A60234">
        <w:rPr>
          <w:b/>
        </w:rPr>
        <w:t xml:space="preserve"> и </w:t>
      </w:r>
      <w:r w:rsidR="00FB231C" w:rsidRPr="00A60234">
        <w:rPr>
          <w:b/>
        </w:rPr>
        <w:t>организация контроля в сфере ПОД/ФТ/ФРОМУ</w:t>
      </w:r>
    </w:p>
    <w:p w14:paraId="0627FFE7" w14:textId="77777777" w:rsidR="00FB231C" w:rsidRPr="00A60234" w:rsidRDefault="00FB231C" w:rsidP="00A60234">
      <w:pPr>
        <w:autoSpaceDE w:val="0"/>
        <w:autoSpaceDN w:val="0"/>
        <w:adjustRightInd w:val="0"/>
        <w:ind w:firstLine="11"/>
        <w:jc w:val="both"/>
      </w:pPr>
    </w:p>
    <w:p w14:paraId="6D5E6D8A" w14:textId="77777777" w:rsidR="00DC5490" w:rsidRPr="00A60234" w:rsidRDefault="003522BB" w:rsidP="00A6023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0234">
        <w:t>В соответствии со ст. 1.</w:t>
      </w:r>
      <w:r w:rsidR="004D22E8" w:rsidRPr="00A60234">
        <w:rPr>
          <w:rFonts w:eastAsiaTheme="minorHAnsi"/>
          <w:lang w:eastAsia="en-US"/>
        </w:rPr>
        <w:t xml:space="preserve"> Федерального закона от 2 декабря 1990</w:t>
      </w:r>
      <w:r w:rsidR="00AB603B" w:rsidRPr="00A60234">
        <w:rPr>
          <w:rFonts w:eastAsiaTheme="minorHAnsi"/>
          <w:lang w:eastAsia="en-US"/>
        </w:rPr>
        <w:t>г.</w:t>
      </w:r>
      <w:r w:rsidRPr="00A60234">
        <w:rPr>
          <w:rFonts w:eastAsiaTheme="minorHAnsi"/>
          <w:lang w:eastAsia="en-US"/>
        </w:rPr>
        <w:t xml:space="preserve"> </w:t>
      </w:r>
      <w:r w:rsidR="00AB603B" w:rsidRPr="00A60234">
        <w:rPr>
          <w:rFonts w:eastAsiaTheme="minorHAnsi"/>
          <w:lang w:eastAsia="en-US"/>
        </w:rPr>
        <w:t>№</w:t>
      </w:r>
      <w:r w:rsidRPr="00A60234">
        <w:rPr>
          <w:rFonts w:eastAsiaTheme="minorHAnsi"/>
          <w:lang w:eastAsia="en-US"/>
        </w:rPr>
        <w:t xml:space="preserve"> </w:t>
      </w:r>
      <w:r w:rsidR="004D22E8" w:rsidRPr="00A60234">
        <w:rPr>
          <w:rFonts w:eastAsiaTheme="minorHAnsi"/>
          <w:lang w:eastAsia="en-US"/>
        </w:rPr>
        <w:t>395-1</w:t>
      </w:r>
      <w:r w:rsidRPr="00A60234">
        <w:rPr>
          <w:rFonts w:eastAsiaTheme="minorHAnsi"/>
          <w:lang w:eastAsia="en-US"/>
        </w:rPr>
        <w:t xml:space="preserve"> "О </w:t>
      </w:r>
      <w:r w:rsidR="004D22E8" w:rsidRPr="00A60234">
        <w:rPr>
          <w:rFonts w:eastAsiaTheme="minorHAnsi"/>
          <w:lang w:eastAsia="en-US"/>
        </w:rPr>
        <w:t>банках и банковской деятельности</w:t>
      </w:r>
      <w:r w:rsidRPr="00A60234">
        <w:rPr>
          <w:rFonts w:eastAsiaTheme="minorHAnsi"/>
          <w:lang w:eastAsia="en-US"/>
        </w:rPr>
        <w:t>"</w:t>
      </w:r>
      <w:r w:rsidR="004D22E8" w:rsidRPr="00A60234">
        <w:rPr>
          <w:rFonts w:eastAsiaTheme="minorHAnsi"/>
          <w:lang w:eastAsia="en-US"/>
        </w:rPr>
        <w:t xml:space="preserve"> (с последующими изменениями) (далее – ФЗ 395-1)</w:t>
      </w:r>
      <w:r w:rsidR="00DC5490" w:rsidRPr="00A60234">
        <w:rPr>
          <w:rFonts w:eastAsiaTheme="minorHAnsi"/>
          <w:lang w:eastAsia="en-US"/>
        </w:rPr>
        <w:t>:</w:t>
      </w:r>
    </w:p>
    <w:p w14:paraId="2DD93C73" w14:textId="027C51F1" w:rsidR="00DC5490" w:rsidRPr="00A60234" w:rsidRDefault="00DC5490" w:rsidP="00A60234">
      <w:pPr>
        <w:autoSpaceDE w:val="0"/>
        <w:autoSpaceDN w:val="0"/>
        <w:adjustRightInd w:val="0"/>
        <w:ind w:firstLine="540"/>
        <w:jc w:val="both"/>
      </w:pPr>
      <w:r w:rsidRPr="00A60234">
        <w:rPr>
          <w:rFonts w:eastAsiaTheme="minorHAnsi"/>
          <w:lang w:eastAsia="en-US"/>
        </w:rPr>
        <w:t>К</w:t>
      </w:r>
      <w:r w:rsidR="004D22E8" w:rsidRPr="00A60234">
        <w:t xml:space="preserve">редитная организация - юридическое лицо, которое для извлечения прибыли как основной цели своей деятельности на основании специального разрешения (лицензии) Центрального банка Российской Федерации (Банка России) имеет право осуществлять банковские операции, предусмотренные </w:t>
      </w:r>
      <w:r w:rsidR="004D22E8" w:rsidRPr="00A60234">
        <w:rPr>
          <w:rFonts w:eastAsiaTheme="minorHAnsi"/>
          <w:lang w:eastAsia="en-US"/>
        </w:rPr>
        <w:t>ФЗ 395-1</w:t>
      </w:r>
      <w:r w:rsidR="004D22E8" w:rsidRPr="00A60234">
        <w:t xml:space="preserve">. </w:t>
      </w:r>
    </w:p>
    <w:p w14:paraId="1114F552" w14:textId="61A8414A" w:rsidR="004D22E8" w:rsidRPr="00A60234" w:rsidRDefault="00DC5490" w:rsidP="00A60234">
      <w:pPr>
        <w:autoSpaceDE w:val="0"/>
        <w:autoSpaceDN w:val="0"/>
        <w:adjustRightInd w:val="0"/>
        <w:ind w:firstLine="540"/>
        <w:jc w:val="both"/>
      </w:pPr>
      <w:r w:rsidRPr="00A60234">
        <w:t>Б</w:t>
      </w:r>
      <w:r w:rsidR="004D22E8" w:rsidRPr="00A60234">
        <w:t>анк - кредитная организация, которая имеет исключительное право осуществлять в совокупности следующие банковские операции: привлечение во вклады денежных средств физических и юридических лиц, размещение указанных средств от своего имени и за свой счет на условиях возвратности, платности, срочности, открытие и ведение банковских счетов физических и юридических лиц.</w:t>
      </w:r>
    </w:p>
    <w:p w14:paraId="46FA031D" w14:textId="77777777" w:rsidR="00DC5490" w:rsidRPr="00A60234" w:rsidRDefault="00DC5490" w:rsidP="00A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34">
        <w:rPr>
          <w:rFonts w:ascii="Times New Roman" w:hAnsi="Times New Roman" w:cs="Times New Roman"/>
          <w:sz w:val="24"/>
          <w:szCs w:val="24"/>
          <w:lang w:val="ru-RU"/>
        </w:rPr>
        <w:t>Банки могут быть с универсальной или с базовой лицензией.</w:t>
      </w:r>
    </w:p>
    <w:p w14:paraId="6C140E72" w14:textId="4CDCA02F" w:rsidR="004D22E8" w:rsidRPr="00A60234" w:rsidRDefault="004D22E8" w:rsidP="00A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34">
        <w:rPr>
          <w:rFonts w:ascii="Times New Roman" w:hAnsi="Times New Roman" w:cs="Times New Roman"/>
          <w:sz w:val="24"/>
          <w:szCs w:val="24"/>
          <w:lang w:val="ru-RU"/>
        </w:rPr>
        <w:t xml:space="preserve">Банк с универсальной лицензией - банк, который имеет право осуществлять банковские операции, указанные в </w:t>
      </w:r>
      <w:hyperlink w:anchor="P106">
        <w:r w:rsidR="00DC5490" w:rsidRPr="00A60234">
          <w:rPr>
            <w:rFonts w:ascii="Times New Roman" w:hAnsi="Times New Roman" w:cs="Times New Roman"/>
            <w:sz w:val="24"/>
            <w:szCs w:val="24"/>
            <w:lang w:val="ru-RU"/>
          </w:rPr>
          <w:t>части первой ст.</w:t>
        </w:r>
        <w:r w:rsidRPr="00A60234">
          <w:rPr>
            <w:rFonts w:ascii="Times New Roman" w:hAnsi="Times New Roman" w:cs="Times New Roman"/>
            <w:sz w:val="24"/>
            <w:szCs w:val="24"/>
            <w:lang w:val="ru-RU"/>
          </w:rPr>
          <w:t>5</w:t>
        </w:r>
      </w:hyperlink>
      <w:r w:rsidRPr="00A602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75B2" w:rsidRPr="00A60234">
        <w:rPr>
          <w:rFonts w:ascii="Times New Roman" w:eastAsiaTheme="minorHAnsi" w:hAnsi="Times New Roman" w:cs="Times New Roman"/>
          <w:sz w:val="24"/>
          <w:szCs w:val="24"/>
          <w:lang w:val="ru-RU"/>
        </w:rPr>
        <w:t>ФЗ 395-1:</w:t>
      </w:r>
    </w:p>
    <w:p w14:paraId="587B2C70" w14:textId="36CC3784" w:rsidR="004D22E8" w:rsidRPr="00A60234" w:rsidRDefault="004D22E8" w:rsidP="00A60234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14:paraId="5DC636A2" w14:textId="77777777" w:rsidR="0022187B" w:rsidRPr="00A60234" w:rsidRDefault="0022187B" w:rsidP="00A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107"/>
      <w:bookmarkEnd w:id="1"/>
      <w:r w:rsidRPr="00A60234">
        <w:rPr>
          <w:rFonts w:ascii="Times New Roman" w:hAnsi="Times New Roman" w:cs="Times New Roman"/>
          <w:sz w:val="24"/>
          <w:szCs w:val="24"/>
          <w:lang w:val="ru-RU"/>
        </w:rPr>
        <w:t xml:space="preserve">1) привлечение денежных средств физических и юридических лиц во </w:t>
      </w:r>
      <w:hyperlink r:id="rId7">
        <w:r w:rsidRPr="00A60234">
          <w:rPr>
            <w:rFonts w:ascii="Times New Roman" w:hAnsi="Times New Roman" w:cs="Times New Roman"/>
            <w:sz w:val="24"/>
            <w:szCs w:val="24"/>
            <w:lang w:val="ru-RU"/>
          </w:rPr>
          <w:t>вклады</w:t>
        </w:r>
      </w:hyperlink>
      <w:r w:rsidRPr="00A60234">
        <w:rPr>
          <w:rFonts w:ascii="Times New Roman" w:hAnsi="Times New Roman" w:cs="Times New Roman"/>
          <w:sz w:val="24"/>
          <w:szCs w:val="24"/>
          <w:lang w:val="ru-RU"/>
        </w:rPr>
        <w:t xml:space="preserve"> (до востребования и на определенный срок);</w:t>
      </w:r>
    </w:p>
    <w:p w14:paraId="182ADDB7" w14:textId="286C77C0" w:rsidR="0022187B" w:rsidRPr="00A60234" w:rsidRDefault="0022187B" w:rsidP="00A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108"/>
      <w:bookmarkEnd w:id="2"/>
      <w:r w:rsidRPr="00A60234">
        <w:rPr>
          <w:rFonts w:ascii="Times New Roman" w:hAnsi="Times New Roman" w:cs="Times New Roman"/>
          <w:sz w:val="24"/>
          <w:szCs w:val="24"/>
          <w:lang w:val="ru-RU"/>
        </w:rPr>
        <w:t>2) размещение указанных в п. 1) привлеченных средств от своего имени и за свой счет;</w:t>
      </w:r>
    </w:p>
    <w:p w14:paraId="3F88686F" w14:textId="77777777" w:rsidR="0022187B" w:rsidRPr="00A60234" w:rsidRDefault="0022187B" w:rsidP="00A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109"/>
      <w:bookmarkEnd w:id="3"/>
      <w:r w:rsidRPr="00A60234">
        <w:rPr>
          <w:rFonts w:ascii="Times New Roman" w:hAnsi="Times New Roman" w:cs="Times New Roman"/>
          <w:sz w:val="24"/>
          <w:szCs w:val="24"/>
          <w:lang w:val="ru-RU"/>
        </w:rPr>
        <w:t>3) открытие и ведение банковских счетов физических и юридических лиц;</w:t>
      </w:r>
    </w:p>
    <w:p w14:paraId="6F1B3194" w14:textId="77777777" w:rsidR="0022187B" w:rsidRPr="00A60234" w:rsidRDefault="0022187B" w:rsidP="00A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110"/>
      <w:bookmarkEnd w:id="4"/>
      <w:r w:rsidRPr="00A60234">
        <w:rPr>
          <w:rFonts w:ascii="Times New Roman" w:hAnsi="Times New Roman" w:cs="Times New Roman"/>
          <w:sz w:val="24"/>
          <w:szCs w:val="24"/>
          <w:lang w:val="ru-RU"/>
        </w:rPr>
        <w:t xml:space="preserve">4) осуществление </w:t>
      </w:r>
      <w:hyperlink r:id="rId8">
        <w:r w:rsidRPr="00A60234">
          <w:rPr>
            <w:rFonts w:ascii="Times New Roman" w:hAnsi="Times New Roman" w:cs="Times New Roman"/>
            <w:sz w:val="24"/>
            <w:szCs w:val="24"/>
            <w:lang w:val="ru-RU"/>
          </w:rPr>
          <w:t>переводов</w:t>
        </w:r>
      </w:hyperlink>
      <w:r w:rsidRPr="00A60234">
        <w:rPr>
          <w:rFonts w:ascii="Times New Roman" w:hAnsi="Times New Roman" w:cs="Times New Roman"/>
          <w:sz w:val="24"/>
          <w:szCs w:val="24"/>
          <w:lang w:val="ru-RU"/>
        </w:rPr>
        <w:t xml:space="preserve"> денежных средств по поручению физических и юридических лиц, в том числе банков-корреспондентов, по их банковским счетам;</w:t>
      </w:r>
    </w:p>
    <w:p w14:paraId="0CAF7F1F" w14:textId="77777777" w:rsidR="0022187B" w:rsidRPr="00A60234" w:rsidRDefault="0022187B" w:rsidP="00A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112"/>
      <w:bookmarkEnd w:id="5"/>
      <w:r w:rsidRPr="00A60234">
        <w:rPr>
          <w:rFonts w:ascii="Times New Roman" w:hAnsi="Times New Roman" w:cs="Times New Roman"/>
          <w:sz w:val="24"/>
          <w:szCs w:val="24"/>
          <w:lang w:val="ru-RU"/>
        </w:rPr>
        <w:t>5) инкассация денежных средств, векселей, платежных и расчетных документов и кассовое обслуживание физических и юридических лиц;</w:t>
      </w:r>
    </w:p>
    <w:p w14:paraId="43AC6DE1" w14:textId="77777777" w:rsidR="0022187B" w:rsidRPr="00A60234" w:rsidRDefault="0022187B" w:rsidP="00A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34">
        <w:rPr>
          <w:rFonts w:ascii="Times New Roman" w:hAnsi="Times New Roman" w:cs="Times New Roman"/>
          <w:sz w:val="24"/>
          <w:szCs w:val="24"/>
          <w:lang w:val="ru-RU"/>
        </w:rPr>
        <w:t xml:space="preserve">6) </w:t>
      </w:r>
      <w:hyperlink r:id="rId9">
        <w:r w:rsidRPr="00A60234">
          <w:rPr>
            <w:rFonts w:ascii="Times New Roman" w:hAnsi="Times New Roman" w:cs="Times New Roman"/>
            <w:sz w:val="24"/>
            <w:szCs w:val="24"/>
            <w:lang w:val="ru-RU"/>
          </w:rPr>
          <w:t>купля-продажа</w:t>
        </w:r>
      </w:hyperlink>
      <w:r w:rsidRPr="00A60234">
        <w:rPr>
          <w:rFonts w:ascii="Times New Roman" w:hAnsi="Times New Roman" w:cs="Times New Roman"/>
          <w:sz w:val="24"/>
          <w:szCs w:val="24"/>
          <w:lang w:val="ru-RU"/>
        </w:rPr>
        <w:t xml:space="preserve"> иностранной валюты в наличной и безналичной формах;</w:t>
      </w:r>
    </w:p>
    <w:p w14:paraId="46CE97C2" w14:textId="77777777" w:rsidR="0022187B" w:rsidRPr="00A60234" w:rsidRDefault="0022187B" w:rsidP="00A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116"/>
      <w:bookmarkEnd w:id="6"/>
      <w:r w:rsidRPr="00A60234">
        <w:rPr>
          <w:rFonts w:ascii="Times New Roman" w:hAnsi="Times New Roman" w:cs="Times New Roman"/>
          <w:sz w:val="24"/>
          <w:szCs w:val="24"/>
          <w:lang w:val="ru-RU"/>
        </w:rPr>
        <w:t xml:space="preserve">7) привлечение драгоценных металлов физических и юридических лиц во </w:t>
      </w:r>
      <w:hyperlink r:id="rId10">
        <w:r w:rsidRPr="00A60234">
          <w:rPr>
            <w:rFonts w:ascii="Times New Roman" w:hAnsi="Times New Roman" w:cs="Times New Roman"/>
            <w:sz w:val="24"/>
            <w:szCs w:val="24"/>
            <w:lang w:val="ru-RU"/>
          </w:rPr>
          <w:t>вклады</w:t>
        </w:r>
      </w:hyperlink>
      <w:r w:rsidRPr="00A60234">
        <w:rPr>
          <w:rFonts w:ascii="Times New Roman" w:hAnsi="Times New Roman" w:cs="Times New Roman"/>
          <w:sz w:val="24"/>
          <w:szCs w:val="24"/>
          <w:lang w:val="ru-RU"/>
        </w:rPr>
        <w:t xml:space="preserve"> (до востребования и на определенный срок), за исключением монет из драгоценных металлов;</w:t>
      </w:r>
    </w:p>
    <w:p w14:paraId="7ADA0B46" w14:textId="505270F4" w:rsidR="0022187B" w:rsidRPr="00A60234" w:rsidRDefault="0022187B" w:rsidP="00A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P118"/>
      <w:bookmarkEnd w:id="7"/>
      <w:r w:rsidRPr="00A60234">
        <w:rPr>
          <w:rFonts w:ascii="Times New Roman" w:hAnsi="Times New Roman" w:cs="Times New Roman"/>
          <w:sz w:val="24"/>
          <w:szCs w:val="24"/>
          <w:lang w:val="ru-RU"/>
        </w:rPr>
        <w:t xml:space="preserve">7.1) размещение указанных в </w:t>
      </w:r>
      <w:hyperlink w:anchor="P116">
        <w:r w:rsidRPr="00A60234">
          <w:rPr>
            <w:rFonts w:ascii="Times New Roman" w:hAnsi="Times New Roman" w:cs="Times New Roman"/>
            <w:sz w:val="24"/>
            <w:szCs w:val="24"/>
            <w:lang w:val="ru-RU"/>
          </w:rPr>
          <w:t>п. 7</w:t>
        </w:r>
      </w:hyperlink>
      <w:r w:rsidRPr="00A60234">
        <w:rPr>
          <w:rFonts w:ascii="Times New Roman" w:hAnsi="Times New Roman" w:cs="Times New Roman"/>
          <w:sz w:val="24"/>
          <w:szCs w:val="24"/>
          <w:lang w:val="ru-RU"/>
        </w:rPr>
        <w:t>) привлеченных драгоценных металлов от своего имени и за свой счет;</w:t>
      </w:r>
    </w:p>
    <w:p w14:paraId="11CCB8C7" w14:textId="77777777" w:rsidR="0022187B" w:rsidRPr="00A60234" w:rsidRDefault="0022187B" w:rsidP="00A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34">
        <w:rPr>
          <w:rFonts w:ascii="Times New Roman" w:hAnsi="Times New Roman" w:cs="Times New Roman"/>
          <w:sz w:val="24"/>
          <w:szCs w:val="24"/>
          <w:lang w:val="ru-RU"/>
        </w:rPr>
        <w:t xml:space="preserve">7.2) открытие и ведение банковских </w:t>
      </w:r>
      <w:hyperlink r:id="rId11">
        <w:r w:rsidRPr="00A60234">
          <w:rPr>
            <w:rFonts w:ascii="Times New Roman" w:hAnsi="Times New Roman" w:cs="Times New Roman"/>
            <w:sz w:val="24"/>
            <w:szCs w:val="24"/>
            <w:lang w:val="ru-RU"/>
          </w:rPr>
          <w:t>счетов</w:t>
        </w:r>
      </w:hyperlink>
      <w:r w:rsidRPr="00A60234">
        <w:rPr>
          <w:rFonts w:ascii="Times New Roman" w:hAnsi="Times New Roman" w:cs="Times New Roman"/>
          <w:sz w:val="24"/>
          <w:szCs w:val="24"/>
          <w:lang w:val="ru-RU"/>
        </w:rPr>
        <w:t xml:space="preserve"> физических и юридических лиц в драгоценных металлах, за исключением монет из драгоценных металлов;</w:t>
      </w:r>
    </w:p>
    <w:p w14:paraId="4310C70E" w14:textId="7214DE32" w:rsidR="0022187B" w:rsidRPr="00A60234" w:rsidRDefault="0022187B" w:rsidP="00A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P124"/>
      <w:bookmarkEnd w:id="8"/>
      <w:r w:rsidRPr="00A60234">
        <w:rPr>
          <w:rFonts w:ascii="Times New Roman" w:hAnsi="Times New Roman" w:cs="Times New Roman"/>
          <w:sz w:val="24"/>
          <w:szCs w:val="24"/>
          <w:lang w:val="ru-RU"/>
        </w:rPr>
        <w:t>7.3) осуществление переводов по поручению физических и юридических лиц, в том числе банков-корреспондентов, по их банковским счетам в драгоценных металлах;</w:t>
      </w:r>
    </w:p>
    <w:p w14:paraId="416F59B4" w14:textId="77777777" w:rsidR="0022187B" w:rsidRPr="00A60234" w:rsidRDefault="0022187B" w:rsidP="00A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P129"/>
      <w:bookmarkEnd w:id="9"/>
      <w:r w:rsidRPr="00A60234">
        <w:rPr>
          <w:rFonts w:ascii="Times New Roman" w:hAnsi="Times New Roman" w:cs="Times New Roman"/>
          <w:sz w:val="24"/>
          <w:szCs w:val="24"/>
          <w:lang w:val="ru-RU"/>
        </w:rPr>
        <w:t>9) осуществление переводов денежных средств без открытия банковских счетов, в том числе электронных денежных средств (за исключением почтовых переводов).</w:t>
      </w:r>
    </w:p>
    <w:p w14:paraId="67D125AE" w14:textId="77777777" w:rsidR="0022187B" w:rsidRPr="00A60234" w:rsidRDefault="0022187B" w:rsidP="00A6023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34">
        <w:rPr>
          <w:rFonts w:ascii="Times New Roman" w:hAnsi="Times New Roman" w:cs="Times New Roman"/>
          <w:sz w:val="24"/>
          <w:szCs w:val="24"/>
          <w:lang w:val="ru-RU"/>
        </w:rPr>
        <w:t xml:space="preserve">(п. 9 в ред. Федерального </w:t>
      </w:r>
      <w:hyperlink r:id="rId12">
        <w:r w:rsidRPr="00A60234">
          <w:rPr>
            <w:rFonts w:ascii="Times New Roman" w:hAnsi="Times New Roman" w:cs="Times New Roman"/>
            <w:sz w:val="24"/>
            <w:szCs w:val="24"/>
            <w:lang w:val="ru-RU"/>
          </w:rPr>
          <w:t>закона</w:t>
        </w:r>
      </w:hyperlink>
      <w:r w:rsidRPr="00A60234">
        <w:rPr>
          <w:rFonts w:ascii="Times New Roman" w:hAnsi="Times New Roman" w:cs="Times New Roman"/>
          <w:sz w:val="24"/>
          <w:szCs w:val="24"/>
          <w:lang w:val="ru-RU"/>
        </w:rPr>
        <w:t xml:space="preserve"> от 27.06.2011 </w:t>
      </w:r>
      <w:r w:rsidRPr="00A60234">
        <w:rPr>
          <w:rFonts w:ascii="Times New Roman" w:hAnsi="Times New Roman" w:cs="Times New Roman"/>
          <w:sz w:val="24"/>
          <w:szCs w:val="24"/>
        </w:rPr>
        <w:t>N</w:t>
      </w:r>
      <w:r w:rsidRPr="00A60234">
        <w:rPr>
          <w:rFonts w:ascii="Times New Roman" w:hAnsi="Times New Roman" w:cs="Times New Roman"/>
          <w:sz w:val="24"/>
          <w:szCs w:val="24"/>
          <w:lang w:val="ru-RU"/>
        </w:rPr>
        <w:t xml:space="preserve"> 162-ФЗ)</w:t>
      </w:r>
    </w:p>
    <w:p w14:paraId="05D85AF0" w14:textId="77777777" w:rsidR="00DC5490" w:rsidRPr="00A60234" w:rsidRDefault="00DC5490" w:rsidP="00A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P142"/>
      <w:bookmarkEnd w:id="10"/>
      <w:r w:rsidRPr="00A60234">
        <w:rPr>
          <w:rFonts w:ascii="Times New Roman" w:hAnsi="Times New Roman" w:cs="Times New Roman"/>
          <w:sz w:val="24"/>
          <w:szCs w:val="24"/>
          <w:lang w:val="ru-RU"/>
        </w:rPr>
        <w:t xml:space="preserve">Банк с базовой лицензией - банк, который имеет право осуществлять банковские операции, указанные в </w:t>
      </w:r>
      <w:hyperlink w:anchor="P106">
        <w:r w:rsidRPr="00A60234">
          <w:rPr>
            <w:rFonts w:ascii="Times New Roman" w:hAnsi="Times New Roman" w:cs="Times New Roman"/>
            <w:sz w:val="24"/>
            <w:szCs w:val="24"/>
            <w:lang w:val="ru-RU"/>
          </w:rPr>
          <w:t>части первой статьи 5</w:t>
        </w:r>
      </w:hyperlink>
      <w:r w:rsidRPr="00A602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0234">
        <w:rPr>
          <w:rFonts w:ascii="Times New Roman" w:eastAsiaTheme="minorHAnsi" w:hAnsi="Times New Roman" w:cs="Times New Roman"/>
          <w:sz w:val="24"/>
          <w:szCs w:val="24"/>
          <w:lang w:val="ru-RU"/>
        </w:rPr>
        <w:t>ФЗ 395-1</w:t>
      </w:r>
      <w:r w:rsidRPr="00A60234">
        <w:rPr>
          <w:rFonts w:ascii="Times New Roman" w:hAnsi="Times New Roman" w:cs="Times New Roman"/>
          <w:sz w:val="24"/>
          <w:szCs w:val="24"/>
          <w:lang w:val="ru-RU"/>
        </w:rPr>
        <w:t>, за исключением тех, которые указаны в пп. 2), 7), 7.1.-7.3.), а также не имеет право выдавать банковские гарантии.</w:t>
      </w:r>
    </w:p>
    <w:p w14:paraId="7A7AF047" w14:textId="0D985543" w:rsidR="00564D04" w:rsidRPr="00A60234" w:rsidRDefault="00564D04" w:rsidP="00A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34">
        <w:rPr>
          <w:rFonts w:ascii="Times New Roman" w:hAnsi="Times New Roman" w:cs="Times New Roman"/>
          <w:sz w:val="24"/>
          <w:szCs w:val="24"/>
          <w:lang w:val="ru-RU"/>
        </w:rPr>
        <w:t xml:space="preserve">Кредитная организация помимо перечисленных в </w:t>
      </w:r>
      <w:hyperlink w:anchor="P106">
        <w:r w:rsidRPr="00A60234">
          <w:rPr>
            <w:rFonts w:ascii="Times New Roman" w:hAnsi="Times New Roman" w:cs="Times New Roman"/>
            <w:sz w:val="24"/>
            <w:szCs w:val="24"/>
            <w:lang w:val="ru-RU"/>
          </w:rPr>
          <w:t>части первой</w:t>
        </w:r>
      </w:hyperlink>
      <w:r w:rsidRPr="00A60234">
        <w:rPr>
          <w:rFonts w:ascii="Times New Roman" w:hAnsi="Times New Roman" w:cs="Times New Roman"/>
          <w:sz w:val="24"/>
          <w:szCs w:val="24"/>
          <w:lang w:val="ru-RU"/>
        </w:rPr>
        <w:t xml:space="preserve"> ФЗ </w:t>
      </w:r>
      <w:r w:rsidR="00DC5490" w:rsidRPr="00A60234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395-1 </w:t>
      </w:r>
      <w:r w:rsidRPr="00A60234">
        <w:rPr>
          <w:rFonts w:ascii="Times New Roman" w:hAnsi="Times New Roman" w:cs="Times New Roman"/>
          <w:sz w:val="24"/>
          <w:szCs w:val="24"/>
          <w:lang w:val="ru-RU"/>
        </w:rPr>
        <w:t>банковских операций вправе осуществлять следующие сделки:</w:t>
      </w:r>
    </w:p>
    <w:p w14:paraId="5960C2C3" w14:textId="77777777" w:rsidR="00564D04" w:rsidRPr="00A60234" w:rsidRDefault="00564D04" w:rsidP="00A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34">
        <w:rPr>
          <w:rFonts w:ascii="Times New Roman" w:hAnsi="Times New Roman" w:cs="Times New Roman"/>
          <w:sz w:val="24"/>
          <w:szCs w:val="24"/>
          <w:lang w:val="ru-RU"/>
        </w:rPr>
        <w:t xml:space="preserve">1) выдачу </w:t>
      </w:r>
      <w:hyperlink r:id="rId13">
        <w:r w:rsidRPr="00A60234">
          <w:rPr>
            <w:rFonts w:ascii="Times New Roman" w:hAnsi="Times New Roman" w:cs="Times New Roman"/>
            <w:sz w:val="24"/>
            <w:szCs w:val="24"/>
            <w:lang w:val="ru-RU"/>
          </w:rPr>
          <w:t>поручительств</w:t>
        </w:r>
      </w:hyperlink>
      <w:r w:rsidRPr="00A60234">
        <w:rPr>
          <w:rFonts w:ascii="Times New Roman" w:hAnsi="Times New Roman" w:cs="Times New Roman"/>
          <w:sz w:val="24"/>
          <w:szCs w:val="24"/>
          <w:lang w:val="ru-RU"/>
        </w:rPr>
        <w:t xml:space="preserve"> за третьих лиц, предусматривающих исполнение обязательств в денежной форме;</w:t>
      </w:r>
    </w:p>
    <w:p w14:paraId="701C8D20" w14:textId="77777777" w:rsidR="00564D04" w:rsidRPr="00A60234" w:rsidRDefault="00564D04" w:rsidP="00A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34">
        <w:rPr>
          <w:rFonts w:ascii="Times New Roman" w:hAnsi="Times New Roman" w:cs="Times New Roman"/>
          <w:sz w:val="24"/>
          <w:szCs w:val="24"/>
          <w:lang w:val="ru-RU"/>
        </w:rPr>
        <w:t>2) приобретение права требования от третьих лиц исполнения обязательств в денежной форме;</w:t>
      </w:r>
    </w:p>
    <w:p w14:paraId="125F001C" w14:textId="77777777" w:rsidR="00564D04" w:rsidRPr="00A60234" w:rsidRDefault="00564D04" w:rsidP="00A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34">
        <w:rPr>
          <w:rFonts w:ascii="Times New Roman" w:hAnsi="Times New Roman" w:cs="Times New Roman"/>
          <w:sz w:val="24"/>
          <w:szCs w:val="24"/>
          <w:lang w:val="ru-RU"/>
        </w:rPr>
        <w:t>3) доверительное управление денежными средствами и иным имуществом по договору с физическими и юридическими лицами;</w:t>
      </w:r>
    </w:p>
    <w:p w14:paraId="6193F2D5" w14:textId="77777777" w:rsidR="00564D04" w:rsidRPr="00A60234" w:rsidRDefault="00564D04" w:rsidP="00A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34">
        <w:rPr>
          <w:rFonts w:ascii="Times New Roman" w:hAnsi="Times New Roman" w:cs="Times New Roman"/>
          <w:sz w:val="24"/>
          <w:szCs w:val="24"/>
          <w:lang w:val="ru-RU"/>
        </w:rPr>
        <w:t xml:space="preserve">4) осуществление операций с драгоценными металлами, монетами из драгоценных </w:t>
      </w:r>
      <w:r w:rsidRPr="00A60234">
        <w:rPr>
          <w:rFonts w:ascii="Times New Roman" w:hAnsi="Times New Roman" w:cs="Times New Roman"/>
          <w:sz w:val="24"/>
          <w:szCs w:val="24"/>
          <w:lang w:val="ru-RU"/>
        </w:rPr>
        <w:lastRenderedPageBreak/>
        <w:t>металлов, обработанными природными алмазами, в соответствии с законодательством Российской Федерации;</w:t>
      </w:r>
    </w:p>
    <w:p w14:paraId="08C236F8" w14:textId="77777777" w:rsidR="00564D04" w:rsidRPr="00A60234" w:rsidRDefault="00564D04" w:rsidP="00A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34">
        <w:rPr>
          <w:rFonts w:ascii="Times New Roman" w:hAnsi="Times New Roman" w:cs="Times New Roman"/>
          <w:sz w:val="24"/>
          <w:szCs w:val="24"/>
          <w:lang w:val="ru-RU"/>
        </w:rPr>
        <w:t xml:space="preserve">5) предоставление в аренду физическим и юридическим лицам специальных помещений или находящихся в них </w:t>
      </w:r>
      <w:hyperlink r:id="rId14">
        <w:r w:rsidRPr="00A60234">
          <w:rPr>
            <w:rFonts w:ascii="Times New Roman" w:hAnsi="Times New Roman" w:cs="Times New Roman"/>
            <w:sz w:val="24"/>
            <w:szCs w:val="24"/>
            <w:lang w:val="ru-RU"/>
          </w:rPr>
          <w:t>сейфов</w:t>
        </w:r>
      </w:hyperlink>
      <w:r w:rsidRPr="00A60234">
        <w:rPr>
          <w:rFonts w:ascii="Times New Roman" w:hAnsi="Times New Roman" w:cs="Times New Roman"/>
          <w:sz w:val="24"/>
          <w:szCs w:val="24"/>
          <w:lang w:val="ru-RU"/>
        </w:rPr>
        <w:t xml:space="preserve"> для хранения документов и ценностей;</w:t>
      </w:r>
    </w:p>
    <w:p w14:paraId="1DC38B88" w14:textId="77777777" w:rsidR="00564D04" w:rsidRPr="00A60234" w:rsidRDefault="00564D04" w:rsidP="00A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34">
        <w:rPr>
          <w:rFonts w:ascii="Times New Roman" w:hAnsi="Times New Roman" w:cs="Times New Roman"/>
          <w:sz w:val="24"/>
          <w:szCs w:val="24"/>
          <w:lang w:val="ru-RU"/>
        </w:rPr>
        <w:t>6) лизинговые операции;</w:t>
      </w:r>
    </w:p>
    <w:p w14:paraId="71CCA629" w14:textId="77777777" w:rsidR="00564D04" w:rsidRPr="00A60234" w:rsidRDefault="00564D04" w:rsidP="00A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34">
        <w:rPr>
          <w:rFonts w:ascii="Times New Roman" w:hAnsi="Times New Roman" w:cs="Times New Roman"/>
          <w:sz w:val="24"/>
          <w:szCs w:val="24"/>
          <w:lang w:val="ru-RU"/>
        </w:rPr>
        <w:t>7) оказание консультационных и информационных услуг;</w:t>
      </w:r>
    </w:p>
    <w:p w14:paraId="530F7738" w14:textId="77777777" w:rsidR="00564D04" w:rsidRPr="00A60234" w:rsidRDefault="00564D04" w:rsidP="00A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34">
        <w:rPr>
          <w:rFonts w:ascii="Times New Roman" w:hAnsi="Times New Roman" w:cs="Times New Roman"/>
          <w:sz w:val="24"/>
          <w:szCs w:val="24"/>
          <w:lang w:val="ru-RU"/>
        </w:rPr>
        <w:t>8) выдача банковских гарантий.</w:t>
      </w:r>
    </w:p>
    <w:p w14:paraId="135D70CB" w14:textId="16A85FE9" w:rsidR="00564D04" w:rsidRPr="00A60234" w:rsidRDefault="00564D04" w:rsidP="00A6023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031BAD8" w14:textId="2F8F319D" w:rsidR="003522BB" w:rsidRPr="00A60234" w:rsidRDefault="003522BB" w:rsidP="00A60234">
      <w:pPr>
        <w:autoSpaceDE w:val="0"/>
        <w:autoSpaceDN w:val="0"/>
        <w:adjustRightInd w:val="0"/>
        <w:ind w:firstLine="720"/>
        <w:jc w:val="both"/>
      </w:pPr>
      <w:r w:rsidRPr="00A60234">
        <w:rPr>
          <w:rFonts w:eastAsiaTheme="minorHAnsi"/>
          <w:lang w:eastAsia="en-US"/>
        </w:rPr>
        <w:t xml:space="preserve">Органом, осуществляющим регулирование, контроль и надзор в сфере финансовых рынков за </w:t>
      </w:r>
      <w:r w:rsidR="00007941" w:rsidRPr="00A60234">
        <w:rPr>
          <w:rFonts w:eastAsiaTheme="minorHAnsi"/>
          <w:lang w:eastAsia="en-US"/>
        </w:rPr>
        <w:t xml:space="preserve">банками и кредитными организациями </w:t>
      </w:r>
      <w:r w:rsidRPr="00A60234">
        <w:rPr>
          <w:rFonts w:eastAsiaTheme="minorHAnsi"/>
          <w:lang w:eastAsia="en-US"/>
        </w:rPr>
        <w:t xml:space="preserve">является Банк России. Банк России устанавливает </w:t>
      </w:r>
      <w:r w:rsidRPr="00A60234">
        <w:t xml:space="preserve">требования к правилам внутреннего контроля </w:t>
      </w:r>
      <w:r w:rsidR="00007941" w:rsidRPr="00A60234">
        <w:t>банков и кредитных организаций</w:t>
      </w:r>
      <w:r w:rsidRPr="00A60234">
        <w:t xml:space="preserve"> в целях противодействия легализации (отмыванию) доходов, полученных преступным путем, и финансированию терроризма (далее - ПВК по ПОД/ФТ)</w:t>
      </w:r>
      <w:r w:rsidR="005B03CB" w:rsidRPr="00A60234">
        <w:t>.</w:t>
      </w:r>
    </w:p>
    <w:p w14:paraId="161034E8" w14:textId="77777777" w:rsidR="003522BB" w:rsidRPr="00A60234" w:rsidRDefault="003522BB" w:rsidP="00A60234">
      <w:pPr>
        <w:ind w:firstLine="11"/>
        <w:jc w:val="both"/>
        <w:rPr>
          <w:b/>
        </w:rPr>
      </w:pPr>
    </w:p>
    <w:p w14:paraId="4633E972" w14:textId="28C06EDA" w:rsidR="00DB3CBC" w:rsidRPr="00A60234" w:rsidRDefault="00DB3CBC" w:rsidP="00A60234">
      <w:pPr>
        <w:pStyle w:val="a3"/>
        <w:numPr>
          <w:ilvl w:val="0"/>
          <w:numId w:val="9"/>
        </w:numPr>
        <w:ind w:left="360"/>
        <w:jc w:val="both"/>
        <w:rPr>
          <w:b/>
        </w:rPr>
      </w:pPr>
      <w:r w:rsidRPr="00A60234">
        <w:rPr>
          <w:b/>
        </w:rPr>
        <w:t xml:space="preserve">Национальная </w:t>
      </w:r>
      <w:r w:rsidR="00AA3D38" w:rsidRPr="00A60234">
        <w:rPr>
          <w:b/>
        </w:rPr>
        <w:t xml:space="preserve">и секторальная </w:t>
      </w:r>
      <w:r w:rsidRPr="00A60234">
        <w:rPr>
          <w:b/>
        </w:rPr>
        <w:t>оценка рисков</w:t>
      </w:r>
    </w:p>
    <w:p w14:paraId="508FA69C" w14:textId="77777777" w:rsidR="00DB3CBC" w:rsidRPr="00A60234" w:rsidRDefault="00DB3CBC" w:rsidP="00A60234">
      <w:pPr>
        <w:ind w:firstLine="11"/>
        <w:jc w:val="both"/>
      </w:pPr>
    </w:p>
    <w:p w14:paraId="31F7939A" w14:textId="1A234D14" w:rsidR="00DB3CBC" w:rsidRPr="00A60234" w:rsidRDefault="00DB3CBC" w:rsidP="00A60234">
      <w:pPr>
        <w:ind w:firstLine="720"/>
        <w:jc w:val="both"/>
      </w:pPr>
      <w:r w:rsidRPr="00A60234">
        <w:t>Результаты национальной оценки рисков ОД/ФТ/ФРОМУ (далее – НОР) содержат ключевые риски, угрозы и уязвимости, характерные для Российской Федерации. Э</w:t>
      </w:r>
      <w:r w:rsidR="0055783B" w:rsidRPr="00A60234">
        <w:t>ти результаты изложены в Отчете</w:t>
      </w:r>
      <w:r w:rsidRPr="00A60234">
        <w:t xml:space="preserve"> о национальной оценке рисков легализации (отмыван</w:t>
      </w:r>
      <w:r w:rsidR="0055783B" w:rsidRPr="00A60234">
        <w:t>ия) преступных доходов и Отчете</w:t>
      </w:r>
      <w:r w:rsidRPr="00A60234">
        <w:t xml:space="preserve"> о национальной оценке рисков финансирования терроризма, разме</w:t>
      </w:r>
      <w:r w:rsidR="0055783B" w:rsidRPr="00A60234">
        <w:t>щенных на официальных</w:t>
      </w:r>
      <w:r w:rsidRPr="00A60234">
        <w:t xml:space="preserve"> Интернет-сайте Росфинмониторинга </w:t>
      </w:r>
      <w:r w:rsidR="0055783B" w:rsidRPr="00A60234">
        <w:t>и Банка России</w:t>
      </w:r>
      <w:r w:rsidR="00F317F4">
        <w:t>.</w:t>
      </w:r>
    </w:p>
    <w:p w14:paraId="7A69AA8B" w14:textId="0365FF9A" w:rsidR="00DB3CBC" w:rsidRPr="00A60234" w:rsidRDefault="00DB3CBC" w:rsidP="00A60234">
      <w:pPr>
        <w:ind w:firstLine="720"/>
        <w:jc w:val="both"/>
      </w:pPr>
      <w:r w:rsidRPr="00A60234">
        <w:t>Результаты НОР могут быть использованы в процессе получения аудитором понимания аудируемого лица и его окружения, в частности, для выявления и оценки соответствующих рисков и планирования ответных действий. Основные уязвимые места и риски ОД/ФТ/ФРОМУ, описанные в результатах НОР, целесообразно использовать в качестве индикаторов для определения областей повышенного аудиторского риска при планировании аудита</w:t>
      </w:r>
      <w:r w:rsidR="00DC5490" w:rsidRPr="00A60234">
        <w:t xml:space="preserve"> банков и кредитных организаций, а также для</w:t>
      </w:r>
      <w:r w:rsidRPr="00A60234">
        <w:t xml:space="preserve"> идентификации рисков, которые требуют особого внимания.</w:t>
      </w:r>
    </w:p>
    <w:p w14:paraId="72341055" w14:textId="25B707B4" w:rsidR="00DB3CBC" w:rsidRPr="00A60234" w:rsidRDefault="00DB3CBC" w:rsidP="00A60234">
      <w:pPr>
        <w:ind w:firstLine="720"/>
        <w:jc w:val="both"/>
      </w:pPr>
      <w:r w:rsidRPr="00A60234">
        <w:t xml:space="preserve">При изучении деятельности аудируемого лица, относящегося к </w:t>
      </w:r>
      <w:r w:rsidR="00651130" w:rsidRPr="00A60234">
        <w:t>банкам и кредитным</w:t>
      </w:r>
      <w:r w:rsidR="00582247" w:rsidRPr="00A60234">
        <w:t xml:space="preserve"> организациям</w:t>
      </w:r>
      <w:r w:rsidRPr="00A60234">
        <w:t xml:space="preserve">, </w:t>
      </w:r>
      <w:r w:rsidR="000142B4" w:rsidRPr="00A60234">
        <w:t>следует обратить</w:t>
      </w:r>
      <w:r w:rsidRPr="00A60234">
        <w:t xml:space="preserve"> внимание на описанные в результатах НОР угрозы в кредитно-финансовой</w:t>
      </w:r>
      <w:r w:rsidR="00460027" w:rsidRPr="00A60234">
        <w:t xml:space="preserve"> сфере, сфере бюджетных отношений, а также в области коррупционных нарушений.</w:t>
      </w:r>
    </w:p>
    <w:p w14:paraId="50AF4A5F" w14:textId="7B0B77FB" w:rsidR="00460027" w:rsidRPr="00A60234" w:rsidRDefault="00460027" w:rsidP="00A60234">
      <w:pPr>
        <w:ind w:firstLine="720"/>
        <w:jc w:val="both"/>
      </w:pPr>
      <w:r w:rsidRPr="00A60234">
        <w:t xml:space="preserve">Финансовый сектор в целом является наиболее регулируемым и законопослушным с точки зрения соблюдения законодательства </w:t>
      </w:r>
      <w:r w:rsidR="00DC5490" w:rsidRPr="00A60234">
        <w:t>п</w:t>
      </w:r>
      <w:r w:rsidRPr="00A60234">
        <w:t>о ПОД/ФТ. Банк России совместно с правоохранительными органами, Генеральной прокуратурой и Росфинмониторингом последовательно занимается очищением финансового сектора от финансовых организаций, бизнес которых ориентирован на личное обогащение их руководства и владельцев, и проведение высокорисковых операций в целях обслуживания потребностей теневой экономики.</w:t>
      </w:r>
    </w:p>
    <w:p w14:paraId="7435F252" w14:textId="3B0C806B" w:rsidR="00DB3CBC" w:rsidRPr="00A60234" w:rsidRDefault="00460027" w:rsidP="00A60234">
      <w:pPr>
        <w:ind w:firstLine="720"/>
        <w:jc w:val="both"/>
      </w:pPr>
      <w:r w:rsidRPr="00A60234">
        <w:t xml:space="preserve">Тем не менее, при приеме на обслуживание </w:t>
      </w:r>
      <w:r w:rsidR="00DD2225" w:rsidRPr="00A60234">
        <w:t>банка или кредитной организац</w:t>
      </w:r>
      <w:r w:rsidR="00DC5490" w:rsidRPr="00A60234">
        <w:t>и</w:t>
      </w:r>
      <w:r w:rsidR="00DD2225" w:rsidRPr="00A60234">
        <w:t>и</w:t>
      </w:r>
      <w:r w:rsidR="00D60075" w:rsidRPr="00A60234">
        <w:t>,</w:t>
      </w:r>
      <w:r w:rsidRPr="00A60234">
        <w:t xml:space="preserve"> в </w:t>
      </w:r>
      <w:r w:rsidR="00DC5490" w:rsidRPr="00A60234">
        <w:t>процессе получения понимания</w:t>
      </w:r>
      <w:r w:rsidR="00D60075" w:rsidRPr="00A60234">
        <w:t xml:space="preserve"> </w:t>
      </w:r>
      <w:r w:rsidR="00DB3CBC" w:rsidRPr="00A60234">
        <w:t xml:space="preserve">деятельности </w:t>
      </w:r>
      <w:r w:rsidR="00D60075" w:rsidRPr="00A60234">
        <w:t>и</w:t>
      </w:r>
      <w:r w:rsidR="00DB3CBC" w:rsidRPr="00A60234">
        <w:t xml:space="preserve"> системы внутреннего контроля</w:t>
      </w:r>
      <w:r w:rsidR="00D60075" w:rsidRPr="00A60234">
        <w:t>,</w:t>
      </w:r>
      <w:r w:rsidR="00DB3CBC" w:rsidRPr="00A60234">
        <w:t xml:space="preserve"> необходимо оценить, насколько риски, описанные в результатах НОР, присущи деятельности аудируемого лица, и выделить значительные виды операций и области, в которых возможно появления рисков ОД/ФТ/ФРОМУ. </w:t>
      </w:r>
      <w:r w:rsidR="00D60075" w:rsidRPr="00A60234">
        <w:t>Р</w:t>
      </w:r>
      <w:r w:rsidR="00DB3CBC" w:rsidRPr="00A60234">
        <w:t>иски ОД/ФТ/ФРОМУ, включенные в группы</w:t>
      </w:r>
      <w:r w:rsidR="006A2AB6" w:rsidRPr="00A60234">
        <w:t xml:space="preserve"> высокого, повышенного и умеренного</w:t>
      </w:r>
      <w:r w:rsidR="00DB3CBC" w:rsidRPr="00A60234">
        <w:t xml:space="preserve"> риска в результатах НОР,</w:t>
      </w:r>
      <w:r w:rsidR="00D60075" w:rsidRPr="00A60234">
        <w:t xml:space="preserve"> следует отнести </w:t>
      </w:r>
      <w:r w:rsidR="00DB3CBC" w:rsidRPr="00A60234">
        <w:t>к ключевым областям аудита.</w:t>
      </w:r>
    </w:p>
    <w:p w14:paraId="55BF1D7F" w14:textId="561804AF" w:rsidR="00DD2225" w:rsidRPr="00A60234" w:rsidRDefault="00DD2225" w:rsidP="00A60234">
      <w:pPr>
        <w:ind w:firstLine="11"/>
        <w:jc w:val="both"/>
      </w:pPr>
    </w:p>
    <w:p w14:paraId="727894BF" w14:textId="04B26552" w:rsidR="00DD2225" w:rsidRPr="00A60234" w:rsidRDefault="00DD2225" w:rsidP="00A60234">
      <w:pPr>
        <w:ind w:firstLine="720"/>
        <w:jc w:val="both"/>
        <w:rPr>
          <w:rStyle w:val="A20"/>
          <w:rFonts w:cs="Times New Roman"/>
          <w:sz w:val="24"/>
          <w:szCs w:val="24"/>
        </w:rPr>
      </w:pPr>
      <w:r w:rsidRPr="00A60234">
        <w:rPr>
          <w:rStyle w:val="A20"/>
          <w:rFonts w:cs="Times New Roman"/>
          <w:sz w:val="24"/>
          <w:szCs w:val="24"/>
        </w:rPr>
        <w:t>В опубликованном в 2022г. Публичном отчете «НОР легализации (отмывания) доходов, полученных преступным путем» отмечается высокий уровень использования безна</w:t>
      </w:r>
      <w:r w:rsidRPr="00A60234">
        <w:rPr>
          <w:rStyle w:val="A20"/>
          <w:rFonts w:cs="Times New Roman"/>
          <w:sz w:val="24"/>
          <w:szCs w:val="24"/>
        </w:rPr>
        <w:softHyphen/>
        <w:t xml:space="preserve">личных </w:t>
      </w:r>
      <w:r w:rsidRPr="00A60234">
        <w:rPr>
          <w:rStyle w:val="A20"/>
          <w:rFonts w:cs="Times New Roman"/>
          <w:sz w:val="24"/>
          <w:szCs w:val="24"/>
        </w:rPr>
        <w:lastRenderedPageBreak/>
        <w:t>переводов средств при осуществлении предикатных преступлений (хищение средств и др.), при получении оплаты за совершенное предикатное пре</w:t>
      </w:r>
      <w:r w:rsidRPr="00A60234">
        <w:rPr>
          <w:rStyle w:val="A20"/>
          <w:rFonts w:cs="Times New Roman"/>
          <w:sz w:val="24"/>
          <w:szCs w:val="24"/>
        </w:rPr>
        <w:softHyphen/>
        <w:t>ступление (за распространение наркотиче</w:t>
      </w:r>
      <w:r w:rsidRPr="00A60234">
        <w:rPr>
          <w:rStyle w:val="A20"/>
          <w:rFonts w:cs="Times New Roman"/>
          <w:sz w:val="24"/>
          <w:szCs w:val="24"/>
        </w:rPr>
        <w:softHyphen/>
        <w:t>ских средств и т.п.), при получении оплаты за реализацию имущества, приобретенно</w:t>
      </w:r>
      <w:r w:rsidRPr="00A60234">
        <w:rPr>
          <w:rStyle w:val="A20"/>
          <w:rFonts w:cs="Times New Roman"/>
          <w:sz w:val="24"/>
          <w:szCs w:val="24"/>
        </w:rPr>
        <w:softHyphen/>
        <w:t>го в результате совершения предикатных преступлений, а также для операций, при</w:t>
      </w:r>
      <w:r w:rsidRPr="00A60234">
        <w:rPr>
          <w:rStyle w:val="A20"/>
          <w:rFonts w:cs="Times New Roman"/>
          <w:sz w:val="24"/>
          <w:szCs w:val="24"/>
        </w:rPr>
        <w:softHyphen/>
        <w:t>званных придать правомерный вид владе</w:t>
      </w:r>
      <w:r w:rsidRPr="00A60234">
        <w:rPr>
          <w:rStyle w:val="A20"/>
          <w:rFonts w:cs="Times New Roman"/>
          <w:sz w:val="24"/>
          <w:szCs w:val="24"/>
        </w:rPr>
        <w:softHyphen/>
        <w:t>нию, пользованию или распоряжению дан</w:t>
      </w:r>
      <w:r w:rsidRPr="00A60234">
        <w:rPr>
          <w:rStyle w:val="A20"/>
          <w:rFonts w:cs="Times New Roman"/>
          <w:sz w:val="24"/>
          <w:szCs w:val="24"/>
        </w:rPr>
        <w:softHyphen/>
        <w:t>ными денежными средствами, являющихся частью схем «транзита», обналичивания или вывода за рубеж. При этом, говорится в Публичном отчете, преступные доходы, выведенные из Российской Феде</w:t>
      </w:r>
      <w:r w:rsidRPr="00A60234">
        <w:rPr>
          <w:rStyle w:val="A20"/>
          <w:rFonts w:cs="Times New Roman"/>
          <w:sz w:val="24"/>
          <w:szCs w:val="24"/>
        </w:rPr>
        <w:softHyphen/>
        <w:t>рации на иностранные банковские счета, могут быть использованы в целях дальней</w:t>
      </w:r>
      <w:r w:rsidRPr="00A60234">
        <w:rPr>
          <w:rStyle w:val="A20"/>
          <w:rFonts w:cs="Times New Roman"/>
          <w:sz w:val="24"/>
          <w:szCs w:val="24"/>
        </w:rPr>
        <w:softHyphen/>
        <w:t>шей легализации и конечного размещения преступных доходов на территории других государств.</w:t>
      </w:r>
    </w:p>
    <w:p w14:paraId="4AE5A978" w14:textId="67A340A6" w:rsidR="00C10F61" w:rsidRPr="00A60234" w:rsidRDefault="00C10F61" w:rsidP="00A60234">
      <w:pPr>
        <w:ind w:firstLine="720"/>
        <w:jc w:val="both"/>
        <w:rPr>
          <w:rStyle w:val="A20"/>
          <w:rFonts w:cs="Times New Roman"/>
          <w:sz w:val="24"/>
          <w:szCs w:val="24"/>
        </w:rPr>
      </w:pPr>
    </w:p>
    <w:p w14:paraId="3BC6B5F4" w14:textId="77777777" w:rsidR="00C10F61" w:rsidRPr="00A60234" w:rsidRDefault="00C10F61" w:rsidP="00A60234">
      <w:pPr>
        <w:ind w:firstLine="720"/>
        <w:jc w:val="both"/>
        <w:rPr>
          <w:color w:val="2B2E33"/>
          <w:spacing w:val="-3"/>
        </w:rPr>
      </w:pPr>
      <w:r w:rsidRPr="00A60234">
        <w:t>По данным опубликованным Банком России в</w:t>
      </w:r>
      <w:r w:rsidRPr="00A60234">
        <w:rPr>
          <w:color w:val="2B2E33"/>
          <w:spacing w:val="-3"/>
        </w:rPr>
        <w:t> первом полугодии 2022 года объемы подозрительных операций в банковском секторе сократились на 9%. Вывод денежных средств за рубеж по подозрительным основаниям в условиях санкционных ограничений, нарушения логистики внешнеторговых платежей и поставок товаров сложился на минимальном за весь период мониторинга уровне — 12 млрд рублей, снизившись почти на 40% по сравнению с первым полугодием 2021 года. Указанное сокращение произошло преимущественно за счет уменьшения объемов подозрительных авансовых платежей за импортируемые товары и переводов по сделкам с ценными бумагами.</w:t>
      </w:r>
    </w:p>
    <w:p w14:paraId="513F1899" w14:textId="77777777" w:rsidR="00C10F61" w:rsidRPr="00A60234" w:rsidRDefault="00C10F61" w:rsidP="00A60234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2B2E33"/>
          <w:spacing w:val="-3"/>
          <w:lang w:val="ru-RU"/>
        </w:rPr>
      </w:pPr>
      <w:r w:rsidRPr="00A60234">
        <w:rPr>
          <w:color w:val="2B2E33"/>
          <w:spacing w:val="-3"/>
          <w:lang w:val="ru-RU"/>
        </w:rPr>
        <w:t>Объемы обналичивания денежных средств в</w:t>
      </w:r>
      <w:r w:rsidRPr="00A60234">
        <w:rPr>
          <w:color w:val="2B2E33"/>
          <w:spacing w:val="-3"/>
        </w:rPr>
        <w:t> </w:t>
      </w:r>
      <w:r w:rsidRPr="00A60234">
        <w:rPr>
          <w:color w:val="2B2E33"/>
          <w:spacing w:val="-3"/>
          <w:lang w:val="ru-RU"/>
        </w:rPr>
        <w:t>банковском секторе в</w:t>
      </w:r>
      <w:r w:rsidRPr="00A60234">
        <w:rPr>
          <w:color w:val="2B2E33"/>
          <w:spacing w:val="-3"/>
        </w:rPr>
        <w:t> </w:t>
      </w:r>
      <w:r w:rsidRPr="00A60234">
        <w:rPr>
          <w:color w:val="2B2E33"/>
          <w:spacing w:val="-3"/>
          <w:lang w:val="ru-RU"/>
        </w:rPr>
        <w:t>первом полугодии 2022 года составили 34</w:t>
      </w:r>
      <w:r w:rsidRPr="00A60234">
        <w:rPr>
          <w:color w:val="2B2E33"/>
          <w:spacing w:val="-3"/>
        </w:rPr>
        <w:t> </w:t>
      </w:r>
      <w:r w:rsidRPr="00A60234">
        <w:rPr>
          <w:color w:val="2B2E33"/>
          <w:spacing w:val="-3"/>
          <w:lang w:val="ru-RU"/>
        </w:rPr>
        <w:t>млрд рублей, увеличившись на</w:t>
      </w:r>
      <w:r w:rsidRPr="00A60234">
        <w:rPr>
          <w:color w:val="2B2E33"/>
          <w:spacing w:val="-3"/>
        </w:rPr>
        <w:t> </w:t>
      </w:r>
      <w:r w:rsidRPr="00A60234">
        <w:rPr>
          <w:color w:val="2B2E33"/>
          <w:spacing w:val="-3"/>
          <w:lang w:val="ru-RU"/>
        </w:rPr>
        <w:t>10% относительно аналогичного периода прошлого года. Несмотря на</w:t>
      </w:r>
      <w:r w:rsidRPr="00A60234">
        <w:rPr>
          <w:color w:val="2B2E33"/>
          <w:spacing w:val="-3"/>
        </w:rPr>
        <w:t> </w:t>
      </w:r>
      <w:r w:rsidRPr="00A60234">
        <w:rPr>
          <w:color w:val="2B2E33"/>
          <w:spacing w:val="-3"/>
          <w:lang w:val="ru-RU"/>
        </w:rPr>
        <w:t>общий рост обналичивания денежных средств, отмечается существенное снижение использования исполнительных документов (в</w:t>
      </w:r>
      <w:r w:rsidRPr="00A60234">
        <w:rPr>
          <w:color w:val="2B2E33"/>
          <w:spacing w:val="-3"/>
        </w:rPr>
        <w:t> </w:t>
      </w:r>
      <w:r w:rsidRPr="00A60234">
        <w:rPr>
          <w:color w:val="2B2E33"/>
          <w:spacing w:val="-3"/>
          <w:lang w:val="ru-RU"/>
        </w:rPr>
        <w:t>основном исполнительных надписей нотариусов и</w:t>
      </w:r>
      <w:r w:rsidRPr="00A60234">
        <w:rPr>
          <w:color w:val="2B2E33"/>
          <w:spacing w:val="-3"/>
        </w:rPr>
        <w:t> </w:t>
      </w:r>
      <w:r w:rsidRPr="00A60234">
        <w:rPr>
          <w:color w:val="2B2E33"/>
          <w:spacing w:val="-3"/>
          <w:lang w:val="ru-RU"/>
        </w:rPr>
        <w:t>удостоверений комиссий по</w:t>
      </w:r>
      <w:r w:rsidRPr="00A60234">
        <w:rPr>
          <w:color w:val="2B2E33"/>
          <w:spacing w:val="-3"/>
        </w:rPr>
        <w:t> </w:t>
      </w:r>
      <w:r w:rsidRPr="00A60234">
        <w:rPr>
          <w:color w:val="2B2E33"/>
          <w:spacing w:val="-3"/>
          <w:lang w:val="ru-RU"/>
        </w:rPr>
        <w:t>трудовым спорам) для</w:t>
      </w:r>
      <w:r w:rsidRPr="00A60234">
        <w:rPr>
          <w:color w:val="2B2E33"/>
          <w:spacing w:val="-3"/>
        </w:rPr>
        <w:t> </w:t>
      </w:r>
      <w:r w:rsidRPr="00A60234">
        <w:rPr>
          <w:color w:val="2B2E33"/>
          <w:spacing w:val="-3"/>
          <w:lang w:val="ru-RU"/>
        </w:rPr>
        <w:t>этих целей (по</w:t>
      </w:r>
      <w:r w:rsidRPr="00A60234">
        <w:rPr>
          <w:color w:val="2B2E33"/>
          <w:spacing w:val="-3"/>
        </w:rPr>
        <w:t> </w:t>
      </w:r>
      <w:r w:rsidRPr="00A60234">
        <w:rPr>
          <w:color w:val="2B2E33"/>
          <w:spacing w:val="-3"/>
          <w:lang w:val="ru-RU"/>
        </w:rPr>
        <w:t>сравнению с</w:t>
      </w:r>
      <w:r w:rsidRPr="00A60234">
        <w:rPr>
          <w:color w:val="2B2E33"/>
          <w:spacing w:val="-3"/>
        </w:rPr>
        <w:t> </w:t>
      </w:r>
      <w:r w:rsidRPr="00A60234">
        <w:rPr>
          <w:color w:val="2B2E33"/>
          <w:spacing w:val="-3"/>
          <w:lang w:val="ru-RU"/>
        </w:rPr>
        <w:t>первым полугодием 2021 года</w:t>
      </w:r>
      <w:r w:rsidRPr="00A60234">
        <w:rPr>
          <w:color w:val="2B2E33"/>
          <w:spacing w:val="-3"/>
        </w:rPr>
        <w:t> </w:t>
      </w:r>
      <w:r w:rsidRPr="00A60234">
        <w:rPr>
          <w:color w:val="2B2E33"/>
          <w:spacing w:val="-3"/>
          <w:lang w:val="ru-RU"/>
        </w:rPr>
        <w:t>— в</w:t>
      </w:r>
      <w:r w:rsidRPr="00A60234">
        <w:rPr>
          <w:color w:val="2B2E33"/>
          <w:spacing w:val="-3"/>
        </w:rPr>
        <w:t> </w:t>
      </w:r>
      <w:r w:rsidRPr="00A60234">
        <w:rPr>
          <w:color w:val="2B2E33"/>
          <w:spacing w:val="-3"/>
          <w:lang w:val="ru-RU"/>
        </w:rPr>
        <w:t>3</w:t>
      </w:r>
      <w:r w:rsidRPr="00A60234">
        <w:rPr>
          <w:color w:val="2B2E33"/>
          <w:spacing w:val="-3"/>
        </w:rPr>
        <w:t> </w:t>
      </w:r>
      <w:r w:rsidRPr="00A60234">
        <w:rPr>
          <w:color w:val="2B2E33"/>
          <w:spacing w:val="-3"/>
          <w:lang w:val="ru-RU"/>
        </w:rPr>
        <w:t>раза, до</w:t>
      </w:r>
      <w:r w:rsidRPr="00A60234">
        <w:rPr>
          <w:color w:val="2B2E33"/>
          <w:spacing w:val="-3"/>
        </w:rPr>
        <w:t> </w:t>
      </w:r>
      <w:r w:rsidRPr="00A60234">
        <w:rPr>
          <w:color w:val="2B2E33"/>
          <w:spacing w:val="-3"/>
          <w:lang w:val="ru-RU"/>
        </w:rPr>
        <w:t>6</w:t>
      </w:r>
      <w:r w:rsidRPr="00A60234">
        <w:rPr>
          <w:color w:val="2B2E33"/>
          <w:spacing w:val="-3"/>
        </w:rPr>
        <w:t> </w:t>
      </w:r>
      <w:r w:rsidRPr="00A60234">
        <w:rPr>
          <w:color w:val="2B2E33"/>
          <w:spacing w:val="-3"/>
          <w:lang w:val="ru-RU"/>
        </w:rPr>
        <w:t>млрд рублей).</w:t>
      </w:r>
    </w:p>
    <w:p w14:paraId="2A4A3889" w14:textId="1373C10B" w:rsidR="00582247" w:rsidRPr="00A60234" w:rsidRDefault="00582247" w:rsidP="00A60234">
      <w:pPr>
        <w:ind w:firstLine="720"/>
        <w:jc w:val="both"/>
        <w:rPr>
          <w:rStyle w:val="A20"/>
          <w:rFonts w:cs="Times New Roman"/>
          <w:sz w:val="24"/>
          <w:szCs w:val="24"/>
        </w:rPr>
      </w:pPr>
      <w:r w:rsidRPr="00A60234">
        <w:rPr>
          <w:rStyle w:val="A20"/>
          <w:rFonts w:cs="Times New Roman"/>
          <w:sz w:val="24"/>
          <w:szCs w:val="24"/>
        </w:rPr>
        <w:t>В</w:t>
      </w:r>
      <w:r w:rsidR="008C1CFB" w:rsidRPr="00A60234">
        <w:rPr>
          <w:rStyle w:val="A20"/>
          <w:rFonts w:cs="Times New Roman"/>
          <w:sz w:val="24"/>
          <w:szCs w:val="24"/>
        </w:rPr>
        <w:t xml:space="preserve"> части безналичных банковских переводов </w:t>
      </w:r>
      <w:r w:rsidR="00ED6992" w:rsidRPr="00A60234">
        <w:rPr>
          <w:rStyle w:val="A20"/>
          <w:rFonts w:cs="Times New Roman"/>
          <w:sz w:val="24"/>
          <w:szCs w:val="24"/>
        </w:rPr>
        <w:t>по приведенному в НОР</w:t>
      </w:r>
      <w:r w:rsidR="004C5684" w:rsidRPr="00A60234">
        <w:rPr>
          <w:rStyle w:val="A20"/>
          <w:rFonts w:cs="Times New Roman"/>
          <w:sz w:val="24"/>
          <w:szCs w:val="24"/>
        </w:rPr>
        <w:t xml:space="preserve"> анализу</w:t>
      </w:r>
      <w:r w:rsidR="00ED6992" w:rsidRPr="00A60234">
        <w:rPr>
          <w:rStyle w:val="A20"/>
          <w:rFonts w:cs="Times New Roman"/>
          <w:sz w:val="24"/>
          <w:szCs w:val="24"/>
        </w:rPr>
        <w:t xml:space="preserve"> </w:t>
      </w:r>
      <w:r w:rsidR="008C1CFB" w:rsidRPr="00A60234">
        <w:rPr>
          <w:rStyle w:val="A20"/>
          <w:rFonts w:cs="Times New Roman"/>
          <w:sz w:val="24"/>
          <w:szCs w:val="24"/>
        </w:rPr>
        <w:t>в</w:t>
      </w:r>
      <w:r w:rsidRPr="00A60234">
        <w:rPr>
          <w:rStyle w:val="A20"/>
          <w:rFonts w:cs="Times New Roman"/>
          <w:sz w:val="24"/>
          <w:szCs w:val="24"/>
        </w:rPr>
        <w:t xml:space="preserve">ысоким уровнем риска характеризуются: переводы под видом товаров и работ; переводы под видом оплаты услуг и займов; «транзитные» безналичные переводы; </w:t>
      </w:r>
      <w:r w:rsidR="00741A23" w:rsidRPr="00A60234">
        <w:rPr>
          <w:rStyle w:val="A20"/>
          <w:rFonts w:cs="Times New Roman"/>
          <w:sz w:val="24"/>
          <w:szCs w:val="24"/>
        </w:rPr>
        <w:t xml:space="preserve">переводы между счетами физических лиц; </w:t>
      </w:r>
    </w:p>
    <w:p w14:paraId="417A808B" w14:textId="69A76900" w:rsidR="0080561F" w:rsidRPr="00A60234" w:rsidRDefault="0080561F" w:rsidP="00A60234">
      <w:pPr>
        <w:ind w:firstLine="720"/>
        <w:jc w:val="both"/>
        <w:rPr>
          <w:rStyle w:val="A20"/>
          <w:rFonts w:cs="Times New Roman"/>
          <w:sz w:val="24"/>
          <w:szCs w:val="24"/>
        </w:rPr>
      </w:pPr>
      <w:r w:rsidRPr="00A60234">
        <w:rPr>
          <w:rStyle w:val="A20"/>
          <w:rFonts w:cs="Times New Roman"/>
          <w:sz w:val="24"/>
          <w:szCs w:val="24"/>
        </w:rPr>
        <w:t xml:space="preserve">Повышенным уровнем риска </w:t>
      </w:r>
      <w:r w:rsidR="00C10F61" w:rsidRPr="00A60234">
        <w:rPr>
          <w:rStyle w:val="A20"/>
          <w:rFonts w:cs="Times New Roman"/>
          <w:sz w:val="24"/>
          <w:szCs w:val="24"/>
        </w:rPr>
        <w:t xml:space="preserve">в части безналичных банковских переводов </w:t>
      </w:r>
      <w:r w:rsidRPr="00A60234">
        <w:rPr>
          <w:rStyle w:val="A20"/>
          <w:rFonts w:cs="Times New Roman"/>
          <w:sz w:val="24"/>
          <w:szCs w:val="24"/>
        </w:rPr>
        <w:t>характеризуются</w:t>
      </w:r>
      <w:r w:rsidR="00C10F61" w:rsidRPr="00A60234">
        <w:rPr>
          <w:rStyle w:val="A20"/>
          <w:rFonts w:cs="Times New Roman"/>
          <w:sz w:val="24"/>
          <w:szCs w:val="24"/>
        </w:rPr>
        <w:t xml:space="preserve"> следующие</w:t>
      </w:r>
      <w:r w:rsidRPr="00A60234">
        <w:rPr>
          <w:rStyle w:val="A20"/>
          <w:rFonts w:cs="Times New Roman"/>
          <w:sz w:val="24"/>
          <w:szCs w:val="24"/>
        </w:rPr>
        <w:t>: уступка права цессии (требования); переводы по исполнительным документам, полученным по фиктивным основаниям;</w:t>
      </w:r>
      <w:r w:rsidR="008C1CFB" w:rsidRPr="00A60234">
        <w:rPr>
          <w:rStyle w:val="A20"/>
          <w:rFonts w:cs="Times New Roman"/>
          <w:sz w:val="24"/>
          <w:szCs w:val="24"/>
        </w:rPr>
        <w:t xml:space="preserve"> переводы под видом либо в качестве</w:t>
      </w:r>
      <w:r w:rsidRPr="00A60234">
        <w:rPr>
          <w:rStyle w:val="A20"/>
          <w:rFonts w:cs="Times New Roman"/>
          <w:sz w:val="24"/>
          <w:szCs w:val="24"/>
        </w:rPr>
        <w:t xml:space="preserve"> оплаты векселей;</w:t>
      </w:r>
      <w:r w:rsidR="008C1CFB" w:rsidRPr="00A60234">
        <w:rPr>
          <w:rStyle w:val="A20"/>
          <w:rFonts w:cs="Times New Roman"/>
          <w:sz w:val="24"/>
          <w:szCs w:val="24"/>
        </w:rPr>
        <w:t xml:space="preserve"> переводы с использованием бюджетных средств.</w:t>
      </w:r>
    </w:p>
    <w:p w14:paraId="567426ED" w14:textId="798239C5" w:rsidR="006A2AB6" w:rsidRPr="00A60234" w:rsidRDefault="006A2AB6" w:rsidP="00A60234">
      <w:pPr>
        <w:ind w:firstLine="720"/>
        <w:jc w:val="both"/>
        <w:rPr>
          <w:rStyle w:val="A20"/>
          <w:rFonts w:cs="Times New Roman"/>
          <w:sz w:val="24"/>
          <w:szCs w:val="24"/>
        </w:rPr>
      </w:pPr>
      <w:r w:rsidRPr="00A60234">
        <w:rPr>
          <w:rStyle w:val="A20"/>
          <w:rFonts w:cs="Times New Roman"/>
          <w:sz w:val="24"/>
          <w:szCs w:val="24"/>
        </w:rPr>
        <w:t>К умеренному уровню риска относятся: переводы с использование бюджетных средств и специальные формы расчетов.</w:t>
      </w:r>
    </w:p>
    <w:p w14:paraId="3223FFCA" w14:textId="2A18A706" w:rsidR="008C1CFB" w:rsidRPr="00A60234" w:rsidRDefault="008C1CFB" w:rsidP="00A60234">
      <w:pPr>
        <w:ind w:firstLine="11"/>
        <w:jc w:val="both"/>
        <w:rPr>
          <w:rStyle w:val="A20"/>
          <w:rFonts w:cs="Times New Roman"/>
          <w:sz w:val="24"/>
          <w:szCs w:val="24"/>
        </w:rPr>
      </w:pPr>
    </w:p>
    <w:p w14:paraId="0ECC6554" w14:textId="26CA5B0D" w:rsidR="008C1CFB" w:rsidRPr="00A60234" w:rsidRDefault="008C1CFB" w:rsidP="00A60234">
      <w:pPr>
        <w:ind w:firstLine="720"/>
        <w:jc w:val="both"/>
        <w:rPr>
          <w:rStyle w:val="A20"/>
          <w:rFonts w:cs="Times New Roman"/>
          <w:sz w:val="24"/>
          <w:szCs w:val="24"/>
        </w:rPr>
      </w:pPr>
      <w:r w:rsidRPr="00A60234">
        <w:rPr>
          <w:rStyle w:val="A20"/>
          <w:rFonts w:cs="Times New Roman"/>
          <w:sz w:val="24"/>
          <w:szCs w:val="24"/>
        </w:rPr>
        <w:t xml:space="preserve">В части наличных </w:t>
      </w:r>
      <w:r w:rsidR="00ED6992" w:rsidRPr="00A60234">
        <w:rPr>
          <w:rStyle w:val="A20"/>
          <w:rFonts w:cs="Times New Roman"/>
          <w:sz w:val="24"/>
          <w:szCs w:val="24"/>
        </w:rPr>
        <w:t>денежных средств</w:t>
      </w:r>
      <w:r w:rsidR="004C5684" w:rsidRPr="00A60234">
        <w:rPr>
          <w:rStyle w:val="A20"/>
          <w:rFonts w:cs="Times New Roman"/>
          <w:sz w:val="24"/>
          <w:szCs w:val="24"/>
        </w:rPr>
        <w:t xml:space="preserve"> высоким уровнем риска характеризуются: получение наличных через механизмы «теневой инкассации»</w:t>
      </w:r>
      <w:r w:rsidR="009C3A8E" w:rsidRPr="00A60234">
        <w:rPr>
          <w:rStyle w:val="A20"/>
          <w:rFonts w:cs="Times New Roman"/>
          <w:sz w:val="24"/>
          <w:szCs w:val="24"/>
        </w:rPr>
        <w:t>; обналичивание со счетов физических лиц; обналичивание с помощью корпоративных карт подставных юридический лиц.</w:t>
      </w:r>
    </w:p>
    <w:p w14:paraId="1D8085FE" w14:textId="4981650F" w:rsidR="009C3A8E" w:rsidRPr="00A60234" w:rsidRDefault="004C5684" w:rsidP="00A60234">
      <w:pPr>
        <w:ind w:firstLine="720"/>
        <w:jc w:val="both"/>
        <w:rPr>
          <w:rStyle w:val="A20"/>
          <w:rFonts w:cs="Times New Roman"/>
          <w:sz w:val="24"/>
          <w:szCs w:val="24"/>
        </w:rPr>
      </w:pPr>
      <w:r w:rsidRPr="00A60234">
        <w:rPr>
          <w:rStyle w:val="A20"/>
          <w:rFonts w:cs="Times New Roman"/>
          <w:sz w:val="24"/>
          <w:szCs w:val="24"/>
        </w:rPr>
        <w:t xml:space="preserve">Повышенным уровнем риска </w:t>
      </w:r>
      <w:r w:rsidR="00C10F61" w:rsidRPr="00A60234">
        <w:rPr>
          <w:rStyle w:val="A20"/>
          <w:rFonts w:cs="Times New Roman"/>
          <w:sz w:val="24"/>
          <w:szCs w:val="24"/>
        </w:rPr>
        <w:t xml:space="preserve">в части наличных денежных средств </w:t>
      </w:r>
      <w:r w:rsidRPr="00A60234">
        <w:rPr>
          <w:rStyle w:val="A20"/>
          <w:rFonts w:cs="Times New Roman"/>
          <w:sz w:val="24"/>
          <w:szCs w:val="24"/>
        </w:rPr>
        <w:t>характеризуются</w:t>
      </w:r>
      <w:r w:rsidR="006A2AB6" w:rsidRPr="00A60234">
        <w:rPr>
          <w:rStyle w:val="A20"/>
          <w:rFonts w:cs="Times New Roman"/>
          <w:sz w:val="24"/>
          <w:szCs w:val="24"/>
        </w:rPr>
        <w:t>:</w:t>
      </w:r>
      <w:r w:rsidR="009C3A8E" w:rsidRPr="00A60234">
        <w:rPr>
          <w:rStyle w:val="A20"/>
          <w:rFonts w:cs="Times New Roman"/>
          <w:sz w:val="24"/>
          <w:szCs w:val="24"/>
        </w:rPr>
        <w:t xml:space="preserve"> злоупотребления организациями, для которых характерен значительный оборот наличности.</w:t>
      </w:r>
    </w:p>
    <w:p w14:paraId="5C77A042" w14:textId="62BEA4A1" w:rsidR="006A2AB6" w:rsidRPr="00A60234" w:rsidRDefault="006A2AB6" w:rsidP="00A60234">
      <w:pPr>
        <w:ind w:firstLine="720"/>
        <w:jc w:val="both"/>
        <w:rPr>
          <w:rStyle w:val="A20"/>
          <w:rFonts w:cs="Times New Roman"/>
          <w:sz w:val="24"/>
          <w:szCs w:val="24"/>
        </w:rPr>
      </w:pPr>
      <w:r w:rsidRPr="00A60234">
        <w:rPr>
          <w:rStyle w:val="A20"/>
          <w:rFonts w:cs="Times New Roman"/>
          <w:sz w:val="24"/>
          <w:szCs w:val="24"/>
        </w:rPr>
        <w:t>К умеренному уровню риска относятся: внесение через устройства для приема наличной валюты; внесение в качестве оплаты задолженности по договору кредита.</w:t>
      </w:r>
    </w:p>
    <w:p w14:paraId="6129E1C2" w14:textId="47963682" w:rsidR="004C5684" w:rsidRPr="00A60234" w:rsidRDefault="004C5684" w:rsidP="00A60234">
      <w:pPr>
        <w:ind w:firstLine="11"/>
        <w:jc w:val="both"/>
        <w:rPr>
          <w:rStyle w:val="A20"/>
          <w:rFonts w:cs="Times New Roman"/>
          <w:sz w:val="24"/>
          <w:szCs w:val="24"/>
        </w:rPr>
      </w:pPr>
    </w:p>
    <w:p w14:paraId="3A2FCE80" w14:textId="18606D30" w:rsidR="004C5684" w:rsidRPr="00A60234" w:rsidRDefault="004C5684" w:rsidP="00A60234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2B2E33"/>
          <w:spacing w:val="-3"/>
          <w:lang w:val="ru-RU"/>
        </w:rPr>
      </w:pPr>
      <w:r w:rsidRPr="00A60234">
        <w:rPr>
          <w:rStyle w:val="A20"/>
          <w:rFonts w:cs="Times New Roman"/>
          <w:sz w:val="24"/>
          <w:szCs w:val="24"/>
          <w:lang w:val="ru-RU"/>
        </w:rPr>
        <w:t>С</w:t>
      </w:r>
      <w:r w:rsidR="009C3A8E" w:rsidRPr="00A60234">
        <w:rPr>
          <w:rStyle w:val="A20"/>
          <w:rFonts w:cs="Times New Roman"/>
          <w:sz w:val="24"/>
          <w:szCs w:val="24"/>
          <w:lang w:val="ru-RU"/>
        </w:rPr>
        <w:t>ледует отметить, что с</w:t>
      </w:r>
      <w:r w:rsidRPr="00A60234">
        <w:rPr>
          <w:rStyle w:val="A20"/>
          <w:rFonts w:cs="Times New Roman"/>
          <w:sz w:val="24"/>
          <w:szCs w:val="24"/>
          <w:lang w:val="ru-RU"/>
        </w:rPr>
        <w:t>ами по себе операции организаций и индивидуальных предпринимателей, де</w:t>
      </w:r>
      <w:r w:rsidRPr="00A60234">
        <w:rPr>
          <w:rStyle w:val="A20"/>
          <w:rFonts w:cs="Times New Roman"/>
          <w:sz w:val="24"/>
          <w:szCs w:val="24"/>
          <w:lang w:val="ru-RU"/>
        </w:rPr>
        <w:softHyphen/>
        <w:t xml:space="preserve">ятельность которых связана с наличными расчетами, не являются подозрительными для </w:t>
      </w:r>
      <w:r w:rsidR="00C10F61" w:rsidRPr="00A60234">
        <w:rPr>
          <w:rStyle w:val="A20"/>
          <w:rFonts w:cs="Times New Roman"/>
          <w:sz w:val="24"/>
          <w:szCs w:val="24"/>
          <w:lang w:val="ru-RU"/>
        </w:rPr>
        <w:t xml:space="preserve">банков и </w:t>
      </w:r>
      <w:r w:rsidRPr="00A60234">
        <w:rPr>
          <w:rStyle w:val="A20"/>
          <w:rFonts w:cs="Times New Roman"/>
          <w:sz w:val="24"/>
          <w:szCs w:val="24"/>
          <w:lang w:val="ru-RU"/>
        </w:rPr>
        <w:t xml:space="preserve">кредитных организаций. </w:t>
      </w:r>
      <w:r w:rsidR="009C3A8E" w:rsidRPr="00A60234">
        <w:rPr>
          <w:rStyle w:val="A20"/>
          <w:rFonts w:cs="Times New Roman"/>
          <w:sz w:val="24"/>
          <w:szCs w:val="24"/>
          <w:lang w:val="ru-RU"/>
        </w:rPr>
        <w:t>Характерными уязвимостями являе</w:t>
      </w:r>
      <w:r w:rsidRPr="00A60234">
        <w:rPr>
          <w:rStyle w:val="A20"/>
          <w:rFonts w:cs="Times New Roman"/>
          <w:sz w:val="24"/>
          <w:szCs w:val="24"/>
          <w:lang w:val="ru-RU"/>
        </w:rPr>
        <w:t xml:space="preserve">тся то, </w:t>
      </w:r>
      <w:r w:rsidR="009C3A8E" w:rsidRPr="00A60234">
        <w:rPr>
          <w:rStyle w:val="A20"/>
          <w:rFonts w:cs="Times New Roman"/>
          <w:sz w:val="24"/>
          <w:szCs w:val="24"/>
          <w:lang w:val="ru-RU"/>
        </w:rPr>
        <w:t>что «т</w:t>
      </w:r>
      <w:r w:rsidRPr="00A60234">
        <w:rPr>
          <w:rStyle w:val="A20"/>
          <w:rFonts w:cs="Times New Roman"/>
          <w:sz w:val="24"/>
          <w:szCs w:val="24"/>
          <w:lang w:val="ru-RU"/>
        </w:rPr>
        <w:t>радицион</w:t>
      </w:r>
      <w:r w:rsidRPr="00A60234">
        <w:rPr>
          <w:rStyle w:val="A20"/>
          <w:rFonts w:cs="Times New Roman"/>
          <w:sz w:val="24"/>
          <w:szCs w:val="24"/>
          <w:lang w:val="ru-RU"/>
        </w:rPr>
        <w:softHyphen/>
        <w:t>ность» использования наличных расче</w:t>
      </w:r>
      <w:r w:rsidRPr="00A60234">
        <w:rPr>
          <w:rStyle w:val="A20"/>
          <w:rFonts w:cs="Times New Roman"/>
          <w:sz w:val="24"/>
          <w:szCs w:val="24"/>
          <w:lang w:val="ru-RU"/>
        </w:rPr>
        <w:softHyphen/>
        <w:t xml:space="preserve">тов позволяет указанным </w:t>
      </w:r>
      <w:r w:rsidRPr="00A60234">
        <w:rPr>
          <w:rStyle w:val="A20"/>
          <w:rFonts w:cs="Times New Roman"/>
          <w:sz w:val="24"/>
          <w:szCs w:val="24"/>
          <w:lang w:val="ru-RU"/>
        </w:rPr>
        <w:lastRenderedPageBreak/>
        <w:t>организациям снимать определенные суммы денежных</w:t>
      </w:r>
      <w:r w:rsidR="009C3A8E" w:rsidRPr="00A60234">
        <w:rPr>
          <w:rStyle w:val="A20"/>
          <w:rFonts w:cs="Times New Roman"/>
          <w:sz w:val="24"/>
          <w:szCs w:val="24"/>
          <w:lang w:val="ru-RU"/>
        </w:rPr>
        <w:t xml:space="preserve"> средств, полученные ранее от юридиче</w:t>
      </w:r>
      <w:r w:rsidR="009C3A8E" w:rsidRPr="00A60234">
        <w:rPr>
          <w:rStyle w:val="A20"/>
          <w:rFonts w:cs="Times New Roman"/>
          <w:sz w:val="24"/>
          <w:szCs w:val="24"/>
          <w:lang w:val="ru-RU"/>
        </w:rPr>
        <w:softHyphen/>
        <w:t>ских и физических лиц по различным осно</w:t>
      </w:r>
      <w:r w:rsidR="009C3A8E" w:rsidRPr="00A60234">
        <w:rPr>
          <w:rStyle w:val="A20"/>
          <w:rFonts w:cs="Times New Roman"/>
          <w:sz w:val="24"/>
          <w:szCs w:val="24"/>
          <w:lang w:val="ru-RU"/>
        </w:rPr>
        <w:softHyphen/>
        <w:t>ваниям.</w:t>
      </w:r>
    </w:p>
    <w:p w14:paraId="0143E2EB" w14:textId="22B5B71D" w:rsidR="00741A23" w:rsidRPr="00A60234" w:rsidRDefault="00741A23" w:rsidP="00A60234">
      <w:pPr>
        <w:autoSpaceDE w:val="0"/>
        <w:autoSpaceDN w:val="0"/>
        <w:adjustRightInd w:val="0"/>
        <w:ind w:firstLine="720"/>
        <w:jc w:val="both"/>
        <w:rPr>
          <w:rStyle w:val="A20"/>
          <w:rFonts w:cs="Times New Roman"/>
          <w:sz w:val="24"/>
          <w:szCs w:val="24"/>
        </w:rPr>
      </w:pPr>
      <w:r w:rsidRPr="00A60234">
        <w:rPr>
          <w:rStyle w:val="A20"/>
          <w:rFonts w:cs="Times New Roman"/>
          <w:sz w:val="24"/>
          <w:szCs w:val="24"/>
        </w:rPr>
        <w:t>В качестве ответных мер на выявленные НОР риски и уязвимости в банковской сфере были приняты следующие:</w:t>
      </w:r>
    </w:p>
    <w:p w14:paraId="71B6454E" w14:textId="77777777" w:rsidR="006A2AB6" w:rsidRPr="00A60234" w:rsidRDefault="00A348A3" w:rsidP="00A60234">
      <w:pPr>
        <w:pStyle w:val="a3"/>
        <w:numPr>
          <w:ilvl w:val="0"/>
          <w:numId w:val="12"/>
        </w:numPr>
        <w:autoSpaceDE w:val="0"/>
        <w:autoSpaceDN w:val="0"/>
        <w:adjustRightInd w:val="0"/>
        <w:ind w:left="1324"/>
        <w:jc w:val="both"/>
        <w:rPr>
          <w:rStyle w:val="A20"/>
          <w:rFonts w:cs="Times New Roman"/>
          <w:sz w:val="24"/>
          <w:szCs w:val="24"/>
        </w:rPr>
      </w:pPr>
      <w:r w:rsidRPr="00A60234">
        <w:rPr>
          <w:rStyle w:val="A20"/>
          <w:rFonts w:cs="Times New Roman"/>
          <w:sz w:val="24"/>
          <w:szCs w:val="24"/>
        </w:rPr>
        <w:t>На базе Банка России создана платформа «Знай своего клиента»</w:t>
      </w:r>
      <w:r w:rsidR="00E94A66" w:rsidRPr="00A60234">
        <w:rPr>
          <w:rStyle w:val="A20"/>
          <w:rFonts w:cs="Times New Roman"/>
          <w:sz w:val="24"/>
          <w:szCs w:val="24"/>
        </w:rPr>
        <w:t xml:space="preserve"> (Далее – ЗСК)</w:t>
      </w:r>
      <w:r w:rsidRPr="00A60234">
        <w:rPr>
          <w:rStyle w:val="A20"/>
          <w:rFonts w:cs="Times New Roman"/>
          <w:sz w:val="24"/>
          <w:szCs w:val="24"/>
        </w:rPr>
        <w:t>, с помощью которой банки в онлайн-режиме получают допол</w:t>
      </w:r>
      <w:r w:rsidRPr="00A60234">
        <w:rPr>
          <w:rStyle w:val="A20"/>
          <w:rFonts w:cs="Times New Roman"/>
          <w:sz w:val="24"/>
          <w:szCs w:val="24"/>
        </w:rPr>
        <w:softHyphen/>
        <w:t>нительную информацию об уровне риска вовлеченности в проведение подозритель</w:t>
      </w:r>
      <w:r w:rsidRPr="00A60234">
        <w:rPr>
          <w:rStyle w:val="A20"/>
          <w:rFonts w:cs="Times New Roman"/>
          <w:sz w:val="24"/>
          <w:szCs w:val="24"/>
        </w:rPr>
        <w:softHyphen/>
        <w:t>ных операций клиентов и их контрагентов, и могут использовать ее при реализации собственных процедур контроля</w:t>
      </w:r>
      <w:r w:rsidR="00E61AE2" w:rsidRPr="00A60234">
        <w:rPr>
          <w:rStyle w:val="A20"/>
          <w:rFonts w:cs="Times New Roman"/>
          <w:sz w:val="24"/>
          <w:szCs w:val="24"/>
        </w:rPr>
        <w:t xml:space="preserve"> в области ПОД/ФТ</w:t>
      </w:r>
      <w:r w:rsidR="006A2AB6" w:rsidRPr="00A60234">
        <w:rPr>
          <w:rStyle w:val="A20"/>
          <w:rFonts w:cs="Times New Roman"/>
          <w:sz w:val="24"/>
          <w:szCs w:val="24"/>
        </w:rPr>
        <w:t>;</w:t>
      </w:r>
    </w:p>
    <w:p w14:paraId="32FE6DA4" w14:textId="388216ED" w:rsidR="00C10F61" w:rsidRPr="00A60234" w:rsidRDefault="00741A23" w:rsidP="00A60234">
      <w:pPr>
        <w:pStyle w:val="a3"/>
        <w:numPr>
          <w:ilvl w:val="0"/>
          <w:numId w:val="12"/>
        </w:numPr>
        <w:autoSpaceDE w:val="0"/>
        <w:autoSpaceDN w:val="0"/>
        <w:adjustRightInd w:val="0"/>
        <w:ind w:left="1324"/>
        <w:jc w:val="both"/>
        <w:rPr>
          <w:rStyle w:val="A20"/>
          <w:rFonts w:cs="Times New Roman"/>
          <w:sz w:val="24"/>
          <w:szCs w:val="24"/>
        </w:rPr>
      </w:pPr>
      <w:r w:rsidRPr="00A60234">
        <w:rPr>
          <w:rStyle w:val="A20"/>
          <w:rFonts w:cs="Times New Roman"/>
          <w:sz w:val="24"/>
          <w:szCs w:val="24"/>
        </w:rPr>
        <w:t>Расширен</w:t>
      </w:r>
      <w:r w:rsidR="0080561F" w:rsidRPr="00A60234">
        <w:rPr>
          <w:rStyle w:val="A90"/>
          <w:rFonts w:cs="Times New Roman"/>
          <w:sz w:val="24"/>
          <w:szCs w:val="24"/>
        </w:rPr>
        <w:t xml:space="preserve"> </w:t>
      </w:r>
      <w:r w:rsidRPr="00A60234">
        <w:rPr>
          <w:rStyle w:val="A90"/>
          <w:rFonts w:cs="Times New Roman"/>
          <w:sz w:val="24"/>
          <w:szCs w:val="24"/>
        </w:rPr>
        <w:t xml:space="preserve"> </w:t>
      </w:r>
      <w:r w:rsidRPr="00A60234">
        <w:rPr>
          <w:rStyle w:val="A20"/>
          <w:rFonts w:cs="Times New Roman"/>
          <w:sz w:val="24"/>
          <w:szCs w:val="24"/>
        </w:rPr>
        <w:t>перечень признаков, указыва</w:t>
      </w:r>
      <w:r w:rsidRPr="00A60234">
        <w:rPr>
          <w:rStyle w:val="A20"/>
          <w:rFonts w:cs="Times New Roman"/>
          <w:sz w:val="24"/>
          <w:szCs w:val="24"/>
        </w:rPr>
        <w:softHyphen/>
        <w:t>ющих на необычный характер операции (сделки), в том числе за счет дополнения при</w:t>
      </w:r>
      <w:r w:rsidRPr="00A60234">
        <w:rPr>
          <w:rStyle w:val="A20"/>
          <w:rFonts w:cs="Times New Roman"/>
          <w:sz w:val="24"/>
          <w:szCs w:val="24"/>
        </w:rPr>
        <w:softHyphen/>
        <w:t>знаками осуществления дистанционного управления с одного устройства банковски</w:t>
      </w:r>
      <w:r w:rsidRPr="00A60234">
        <w:rPr>
          <w:rStyle w:val="A20"/>
          <w:rFonts w:cs="Times New Roman"/>
          <w:sz w:val="24"/>
          <w:szCs w:val="24"/>
        </w:rPr>
        <w:softHyphen/>
        <w:t>ми счетами различных юридических лиц, не имеющих общего учредителя или бенефициарного владельца, либо юридических лиц, зарегистрированных в разных странах; осуществления дистанци</w:t>
      </w:r>
      <w:r w:rsidRPr="00A60234">
        <w:rPr>
          <w:rStyle w:val="A20"/>
          <w:rFonts w:cs="Times New Roman"/>
          <w:sz w:val="24"/>
          <w:szCs w:val="24"/>
        </w:rPr>
        <w:softHyphen/>
        <w:t>онного управления с одного устройства банковскими счетами, открытыми на раз</w:t>
      </w:r>
      <w:r w:rsidRPr="00A60234">
        <w:rPr>
          <w:rStyle w:val="A20"/>
          <w:rFonts w:cs="Times New Roman"/>
          <w:sz w:val="24"/>
          <w:szCs w:val="24"/>
        </w:rPr>
        <w:softHyphen/>
        <w:t>ных физических лиц, если кредитная ор</w:t>
      </w:r>
      <w:r w:rsidRPr="00A60234">
        <w:rPr>
          <w:rStyle w:val="A20"/>
          <w:rFonts w:cs="Times New Roman"/>
          <w:sz w:val="24"/>
          <w:szCs w:val="24"/>
        </w:rPr>
        <w:softHyphen/>
        <w:t xml:space="preserve">ганизация не располагает информацией о близком родстве этих физических лиц; осуществления операций в рамках договора займа; </w:t>
      </w:r>
      <w:r w:rsidR="009C3A8E" w:rsidRPr="00A60234">
        <w:rPr>
          <w:rStyle w:val="A20"/>
          <w:rFonts w:cs="Times New Roman"/>
          <w:sz w:val="24"/>
          <w:szCs w:val="24"/>
        </w:rPr>
        <w:t>осуществления клиентами кредитных организаций опе</w:t>
      </w:r>
      <w:r w:rsidR="009C3A8E" w:rsidRPr="00A60234">
        <w:rPr>
          <w:rStyle w:val="A20"/>
          <w:rFonts w:cs="Times New Roman"/>
          <w:sz w:val="24"/>
          <w:szCs w:val="24"/>
        </w:rPr>
        <w:softHyphen/>
        <w:t>раций по внесению на счет наличных де</w:t>
      </w:r>
      <w:r w:rsidR="009C3A8E" w:rsidRPr="00A60234">
        <w:rPr>
          <w:rStyle w:val="A20"/>
          <w:rFonts w:cs="Times New Roman"/>
          <w:sz w:val="24"/>
          <w:szCs w:val="24"/>
        </w:rPr>
        <w:softHyphen/>
        <w:t>нежных средств, источник происхожде</w:t>
      </w:r>
      <w:r w:rsidR="009C3A8E" w:rsidRPr="00A60234">
        <w:rPr>
          <w:rStyle w:val="A20"/>
          <w:rFonts w:cs="Times New Roman"/>
          <w:sz w:val="24"/>
          <w:szCs w:val="24"/>
        </w:rPr>
        <w:softHyphen/>
        <w:t>ния которых вызывает подозрения;</w:t>
      </w:r>
      <w:r w:rsidR="00C10F61" w:rsidRPr="00A60234">
        <w:rPr>
          <w:rStyle w:val="A20"/>
          <w:rFonts w:cs="Times New Roman"/>
          <w:sz w:val="24"/>
          <w:szCs w:val="24"/>
        </w:rPr>
        <w:t xml:space="preserve"> осуществления юридическими лицами - клиентами кредитных организаций операций по снятию денежных средств в на</w:t>
      </w:r>
      <w:r w:rsidR="00C10F61" w:rsidRPr="00A60234">
        <w:rPr>
          <w:rStyle w:val="A20"/>
          <w:rFonts w:cs="Times New Roman"/>
          <w:sz w:val="24"/>
          <w:szCs w:val="24"/>
        </w:rPr>
        <w:softHyphen/>
        <w:t>личной форме с корпоративной банковской карты; осуществления клиентами кредитных организаций операций по сня</w:t>
      </w:r>
      <w:r w:rsidR="00C10F61" w:rsidRPr="00A60234">
        <w:rPr>
          <w:rStyle w:val="A20"/>
          <w:rFonts w:cs="Times New Roman"/>
          <w:sz w:val="24"/>
          <w:szCs w:val="24"/>
        </w:rPr>
        <w:softHyphen/>
        <w:t>тию клиентом - юридическим лицом или индивидуальным предпринимателем де</w:t>
      </w:r>
      <w:r w:rsidR="00C10F61" w:rsidRPr="00A60234">
        <w:rPr>
          <w:rStyle w:val="A20"/>
          <w:rFonts w:cs="Times New Roman"/>
          <w:sz w:val="24"/>
          <w:szCs w:val="24"/>
        </w:rPr>
        <w:softHyphen/>
        <w:t>нежных средств в наличной форме с бан</w:t>
      </w:r>
      <w:r w:rsidR="00C10F61" w:rsidRPr="00A60234">
        <w:rPr>
          <w:rStyle w:val="A20"/>
          <w:rFonts w:cs="Times New Roman"/>
          <w:sz w:val="24"/>
          <w:szCs w:val="24"/>
        </w:rPr>
        <w:softHyphen/>
        <w:t>ковского счета для покупки у физических лиц лома черных, цветных или драгоцен</w:t>
      </w:r>
      <w:r w:rsidR="00C10F61" w:rsidRPr="00A60234">
        <w:rPr>
          <w:rStyle w:val="A20"/>
          <w:rFonts w:cs="Times New Roman"/>
          <w:sz w:val="24"/>
          <w:szCs w:val="24"/>
        </w:rPr>
        <w:softHyphen/>
        <w:t>ных металлов, если доля снятия наличных на указанные цели превышает 30 процен</w:t>
      </w:r>
      <w:r w:rsidR="00C10F61" w:rsidRPr="00A60234">
        <w:rPr>
          <w:rStyle w:val="A20"/>
          <w:rFonts w:cs="Times New Roman"/>
          <w:sz w:val="24"/>
          <w:szCs w:val="24"/>
        </w:rPr>
        <w:softHyphen/>
        <w:t>тов от общего объема расходов на закупку лома либо сумма снимаемых наличных де</w:t>
      </w:r>
      <w:r w:rsidR="00C10F61" w:rsidRPr="00A60234">
        <w:rPr>
          <w:rStyle w:val="A20"/>
          <w:rFonts w:cs="Times New Roman"/>
          <w:sz w:val="24"/>
          <w:szCs w:val="24"/>
        </w:rPr>
        <w:softHyphen/>
        <w:t>нежных средств превышает 3 млн рублей в день (Перечень признаков, указыва</w:t>
      </w:r>
      <w:r w:rsidR="00C10F61" w:rsidRPr="00A60234">
        <w:rPr>
          <w:rStyle w:val="A20"/>
          <w:rFonts w:cs="Times New Roman"/>
          <w:sz w:val="24"/>
          <w:szCs w:val="24"/>
        </w:rPr>
        <w:softHyphen/>
        <w:t xml:space="preserve">ющих на необычный характер операции (сделки) для банков и кредитных организаций – см. Положение Банка России от 2 марта 2012 г. № 375-П «О требованиях к правилам внутреннего контроля кредитной организации в целях противодействия легализации (отмыванию) доходов, полученных преступным путем, и финансированию терроризма» (с последующими изменениями и дополнениями)); </w:t>
      </w:r>
    </w:p>
    <w:p w14:paraId="067560BE" w14:textId="50BBAC38" w:rsidR="00741A23" w:rsidRPr="00A60234" w:rsidRDefault="00741A23" w:rsidP="00A60234">
      <w:pPr>
        <w:pStyle w:val="a3"/>
        <w:numPr>
          <w:ilvl w:val="0"/>
          <w:numId w:val="12"/>
        </w:numPr>
        <w:autoSpaceDE w:val="0"/>
        <w:autoSpaceDN w:val="0"/>
        <w:adjustRightInd w:val="0"/>
        <w:ind w:left="1324"/>
        <w:jc w:val="both"/>
        <w:rPr>
          <w:rStyle w:val="A20"/>
          <w:rFonts w:cs="Times New Roman"/>
          <w:sz w:val="24"/>
          <w:szCs w:val="24"/>
        </w:rPr>
      </w:pPr>
      <w:r w:rsidRPr="00A60234">
        <w:rPr>
          <w:rStyle w:val="A20"/>
          <w:rFonts w:cs="Times New Roman"/>
          <w:sz w:val="24"/>
          <w:szCs w:val="24"/>
        </w:rPr>
        <w:t>Существенно увеличен</w:t>
      </w:r>
      <w:r w:rsidRPr="00A60234">
        <w:rPr>
          <w:rStyle w:val="A90"/>
          <w:rFonts w:cs="Times New Roman"/>
          <w:sz w:val="24"/>
          <w:szCs w:val="24"/>
        </w:rPr>
        <w:t xml:space="preserve"> </w:t>
      </w:r>
      <w:r w:rsidRPr="00A60234">
        <w:rPr>
          <w:rStyle w:val="A20"/>
          <w:rFonts w:cs="Times New Roman"/>
          <w:sz w:val="24"/>
          <w:szCs w:val="24"/>
        </w:rPr>
        <w:t>размер штрафов для кред</w:t>
      </w:r>
      <w:r w:rsidR="0080561F" w:rsidRPr="00A60234">
        <w:rPr>
          <w:rStyle w:val="A20"/>
          <w:rFonts w:cs="Times New Roman"/>
          <w:sz w:val="24"/>
          <w:szCs w:val="24"/>
        </w:rPr>
        <w:t xml:space="preserve">итных организаций за нарушение </w:t>
      </w:r>
      <w:r w:rsidRPr="00A60234">
        <w:rPr>
          <w:rStyle w:val="A20"/>
          <w:rFonts w:cs="Times New Roman"/>
          <w:sz w:val="24"/>
          <w:szCs w:val="24"/>
        </w:rPr>
        <w:t>законодательства</w:t>
      </w:r>
      <w:r w:rsidR="0080561F" w:rsidRPr="00A60234">
        <w:rPr>
          <w:rStyle w:val="A20"/>
          <w:rFonts w:cs="Times New Roman"/>
          <w:sz w:val="24"/>
          <w:szCs w:val="24"/>
        </w:rPr>
        <w:t xml:space="preserve"> в области ПОД/ФТ</w:t>
      </w:r>
      <w:r w:rsidRPr="00A60234">
        <w:rPr>
          <w:rStyle w:val="A20"/>
          <w:rFonts w:cs="Times New Roman"/>
          <w:sz w:val="24"/>
          <w:szCs w:val="24"/>
        </w:rPr>
        <w:t>, в целях повышения эффективности реали</w:t>
      </w:r>
      <w:r w:rsidRPr="00A60234">
        <w:rPr>
          <w:rStyle w:val="A20"/>
          <w:rFonts w:cs="Times New Roman"/>
          <w:sz w:val="24"/>
          <w:szCs w:val="24"/>
        </w:rPr>
        <w:softHyphen/>
        <w:t>зации мер надлежащей проверки кредит</w:t>
      </w:r>
      <w:r w:rsidRPr="00A60234">
        <w:rPr>
          <w:rStyle w:val="A20"/>
          <w:rFonts w:cs="Times New Roman"/>
          <w:sz w:val="24"/>
          <w:szCs w:val="24"/>
        </w:rPr>
        <w:softHyphen/>
        <w:t>ными организациями своих клиентов</w:t>
      </w:r>
      <w:r w:rsidR="0080561F" w:rsidRPr="00A60234">
        <w:rPr>
          <w:rStyle w:val="A20"/>
          <w:rFonts w:cs="Times New Roman"/>
          <w:sz w:val="24"/>
          <w:szCs w:val="24"/>
        </w:rPr>
        <w:t>;</w:t>
      </w:r>
    </w:p>
    <w:p w14:paraId="5525A633" w14:textId="75B5B64A" w:rsidR="0080561F" w:rsidRPr="00A60234" w:rsidRDefault="0080561F" w:rsidP="00A60234">
      <w:pPr>
        <w:pStyle w:val="a3"/>
        <w:numPr>
          <w:ilvl w:val="0"/>
          <w:numId w:val="12"/>
        </w:numPr>
        <w:autoSpaceDE w:val="0"/>
        <w:autoSpaceDN w:val="0"/>
        <w:adjustRightInd w:val="0"/>
        <w:ind w:left="1324"/>
        <w:jc w:val="both"/>
        <w:rPr>
          <w:rStyle w:val="A20"/>
          <w:rFonts w:cs="Times New Roman"/>
          <w:sz w:val="24"/>
          <w:szCs w:val="24"/>
        </w:rPr>
      </w:pPr>
      <w:r w:rsidRPr="00A60234">
        <w:rPr>
          <w:rStyle w:val="A20"/>
          <w:rFonts w:cs="Times New Roman"/>
          <w:sz w:val="24"/>
          <w:szCs w:val="24"/>
        </w:rPr>
        <w:t xml:space="preserve">Банком России изданы </w:t>
      </w:r>
      <w:r w:rsidRPr="00A60234">
        <w:rPr>
          <w:rStyle w:val="A80"/>
          <w:rFonts w:cs="Times New Roman"/>
          <w:sz w:val="24"/>
          <w:szCs w:val="24"/>
        </w:rPr>
        <w:t>«Методические рекомендации о повышении внимания кредитных организаций при приеме на обслуживание и обслуживании лизинговых компаний и факторинговых компаний» (утв. Банком России 19.08.2020 № 13-МР);</w:t>
      </w:r>
    </w:p>
    <w:p w14:paraId="1AB66ADF" w14:textId="0F8AE4C4" w:rsidR="0080561F" w:rsidRPr="00A60234" w:rsidRDefault="0080561F" w:rsidP="00A60234">
      <w:pPr>
        <w:pStyle w:val="a3"/>
        <w:numPr>
          <w:ilvl w:val="0"/>
          <w:numId w:val="12"/>
        </w:numPr>
        <w:autoSpaceDE w:val="0"/>
        <w:autoSpaceDN w:val="0"/>
        <w:adjustRightInd w:val="0"/>
        <w:ind w:left="1324"/>
        <w:jc w:val="both"/>
        <w:rPr>
          <w:rStyle w:val="A20"/>
          <w:rFonts w:cs="Times New Roman"/>
          <w:sz w:val="24"/>
          <w:szCs w:val="24"/>
        </w:rPr>
      </w:pPr>
      <w:r w:rsidRPr="00A60234">
        <w:rPr>
          <w:rStyle w:val="A20"/>
          <w:rFonts w:cs="Times New Roman"/>
          <w:sz w:val="24"/>
          <w:szCs w:val="24"/>
        </w:rPr>
        <w:t>Банком России подготовлены «Методиче</w:t>
      </w:r>
      <w:r w:rsidRPr="00A60234">
        <w:rPr>
          <w:rStyle w:val="A20"/>
          <w:rFonts w:cs="Times New Roman"/>
          <w:sz w:val="24"/>
          <w:szCs w:val="24"/>
        </w:rPr>
        <w:softHyphen/>
        <w:t>ские рекомендации о повышении внима</w:t>
      </w:r>
      <w:r w:rsidRPr="00A60234">
        <w:rPr>
          <w:rStyle w:val="A20"/>
          <w:rFonts w:cs="Times New Roman"/>
          <w:sz w:val="24"/>
          <w:szCs w:val="24"/>
        </w:rPr>
        <w:softHyphen/>
        <w:t>ния кредитных организаций к отдельным операциям, совершаемым на основании исполнительных документов» от 12.02.2021 № 1-МР, ориентирующие финансовые орга</w:t>
      </w:r>
      <w:r w:rsidRPr="00A60234">
        <w:rPr>
          <w:rStyle w:val="A20"/>
          <w:rFonts w:cs="Times New Roman"/>
          <w:sz w:val="24"/>
          <w:szCs w:val="24"/>
        </w:rPr>
        <w:softHyphen/>
        <w:t>низации, в которые поступает подозритель</w:t>
      </w:r>
      <w:r w:rsidRPr="00A60234">
        <w:rPr>
          <w:rStyle w:val="A20"/>
          <w:rFonts w:cs="Times New Roman"/>
          <w:sz w:val="24"/>
          <w:szCs w:val="24"/>
        </w:rPr>
        <w:softHyphen/>
        <w:t>ный платеж, выявлять и пресекать подоб</w:t>
      </w:r>
      <w:r w:rsidRPr="00A60234">
        <w:rPr>
          <w:rStyle w:val="A20"/>
          <w:rFonts w:cs="Times New Roman"/>
          <w:sz w:val="24"/>
          <w:szCs w:val="24"/>
        </w:rPr>
        <w:softHyphen/>
        <w:t>ные операции;</w:t>
      </w:r>
    </w:p>
    <w:p w14:paraId="5E76F883" w14:textId="2BC73C06" w:rsidR="0080561F" w:rsidRPr="00A60234" w:rsidRDefault="0080561F" w:rsidP="00A60234">
      <w:pPr>
        <w:pStyle w:val="a3"/>
        <w:numPr>
          <w:ilvl w:val="0"/>
          <w:numId w:val="12"/>
        </w:numPr>
        <w:autoSpaceDE w:val="0"/>
        <w:autoSpaceDN w:val="0"/>
        <w:adjustRightInd w:val="0"/>
        <w:ind w:left="1324"/>
        <w:jc w:val="both"/>
        <w:rPr>
          <w:rStyle w:val="A80"/>
          <w:rFonts w:cs="Times New Roman"/>
          <w:sz w:val="24"/>
          <w:szCs w:val="24"/>
        </w:rPr>
      </w:pPr>
      <w:r w:rsidRPr="00A60234">
        <w:rPr>
          <w:rStyle w:val="A20"/>
          <w:rFonts w:cs="Times New Roman"/>
          <w:sz w:val="24"/>
          <w:szCs w:val="24"/>
        </w:rPr>
        <w:lastRenderedPageBreak/>
        <w:t>Банком России до кредитных орга</w:t>
      </w:r>
      <w:r w:rsidRPr="00A60234">
        <w:rPr>
          <w:rStyle w:val="A20"/>
          <w:rFonts w:cs="Times New Roman"/>
          <w:sz w:val="24"/>
          <w:szCs w:val="24"/>
        </w:rPr>
        <w:softHyphen/>
        <w:t>низаций доведены</w:t>
      </w:r>
      <w:r w:rsidRPr="00A60234">
        <w:rPr>
          <w:rStyle w:val="A90"/>
          <w:rFonts w:cs="Times New Roman"/>
          <w:sz w:val="24"/>
          <w:szCs w:val="24"/>
        </w:rPr>
        <w:t xml:space="preserve"> </w:t>
      </w:r>
      <w:r w:rsidRPr="00A60234">
        <w:rPr>
          <w:rStyle w:val="A20"/>
          <w:rFonts w:cs="Times New Roman"/>
          <w:sz w:val="24"/>
          <w:szCs w:val="24"/>
        </w:rPr>
        <w:t>уязвимости, которы</w:t>
      </w:r>
      <w:r w:rsidRPr="00A60234">
        <w:rPr>
          <w:rStyle w:val="A20"/>
          <w:rFonts w:cs="Times New Roman"/>
          <w:sz w:val="24"/>
          <w:szCs w:val="24"/>
        </w:rPr>
        <w:softHyphen/>
        <w:t>ми обладают векселя, способы их исполь</w:t>
      </w:r>
      <w:r w:rsidRPr="00A60234">
        <w:rPr>
          <w:rStyle w:val="A20"/>
          <w:rFonts w:cs="Times New Roman"/>
          <w:sz w:val="24"/>
          <w:szCs w:val="24"/>
        </w:rPr>
        <w:softHyphen/>
        <w:t>зования для совершения сомнительных операций, а также рекомендации воздер</w:t>
      </w:r>
      <w:r w:rsidRPr="00A60234">
        <w:rPr>
          <w:rStyle w:val="A20"/>
          <w:rFonts w:cs="Times New Roman"/>
          <w:sz w:val="24"/>
          <w:szCs w:val="24"/>
        </w:rPr>
        <w:softHyphen/>
        <w:t>жаться от выдачи векселей при наличии подозрений использования их в схемах ОД/ФТ (</w:t>
      </w:r>
      <w:r w:rsidRPr="00A60234">
        <w:rPr>
          <w:rStyle w:val="A80"/>
          <w:rFonts w:cs="Times New Roman"/>
          <w:sz w:val="24"/>
          <w:szCs w:val="24"/>
        </w:rPr>
        <w:t>Методические рекомендации от 16.09.2019 № 26-МР «О повышении внимания кредитных организаций к операциям с векселями»);</w:t>
      </w:r>
    </w:p>
    <w:p w14:paraId="1556837B" w14:textId="4AE2B850" w:rsidR="004C5684" w:rsidRPr="00A60234" w:rsidRDefault="004C5684" w:rsidP="00A60234">
      <w:pPr>
        <w:pStyle w:val="a3"/>
        <w:numPr>
          <w:ilvl w:val="0"/>
          <w:numId w:val="12"/>
        </w:numPr>
        <w:autoSpaceDE w:val="0"/>
        <w:autoSpaceDN w:val="0"/>
        <w:adjustRightInd w:val="0"/>
        <w:ind w:left="1324"/>
        <w:jc w:val="both"/>
        <w:rPr>
          <w:rStyle w:val="A20"/>
          <w:rFonts w:cs="Times New Roman"/>
          <w:sz w:val="24"/>
          <w:szCs w:val="24"/>
        </w:rPr>
      </w:pPr>
      <w:r w:rsidRPr="00A60234">
        <w:rPr>
          <w:rStyle w:val="A20"/>
          <w:rFonts w:cs="Times New Roman"/>
          <w:sz w:val="24"/>
          <w:szCs w:val="24"/>
        </w:rPr>
        <w:t>Ужесточены требования</w:t>
      </w:r>
      <w:r w:rsidR="00FC35F0" w:rsidRPr="00A60234">
        <w:rPr>
          <w:rStyle w:val="A90"/>
          <w:rFonts w:cs="Times New Roman"/>
          <w:sz w:val="24"/>
          <w:szCs w:val="24"/>
        </w:rPr>
        <w:t xml:space="preserve"> </w:t>
      </w:r>
      <w:r w:rsidRPr="00A60234">
        <w:rPr>
          <w:rStyle w:val="A20"/>
          <w:rFonts w:cs="Times New Roman"/>
          <w:sz w:val="24"/>
          <w:szCs w:val="24"/>
        </w:rPr>
        <w:t>по операциям – снятия со счета или зачисления на счет юри</w:t>
      </w:r>
      <w:r w:rsidRPr="00A60234">
        <w:rPr>
          <w:rStyle w:val="A20"/>
          <w:rFonts w:cs="Times New Roman"/>
          <w:sz w:val="24"/>
          <w:szCs w:val="24"/>
        </w:rPr>
        <w:softHyphen/>
        <w:t>дического лица денежных средств в налич</w:t>
      </w:r>
      <w:r w:rsidRPr="00A60234">
        <w:rPr>
          <w:rStyle w:val="A20"/>
          <w:rFonts w:cs="Times New Roman"/>
          <w:sz w:val="24"/>
          <w:szCs w:val="24"/>
        </w:rPr>
        <w:softHyphen/>
        <w:t>ной форме;</w:t>
      </w:r>
    </w:p>
    <w:p w14:paraId="385CD3FD" w14:textId="76D6BB85" w:rsidR="004C5684" w:rsidRPr="00A60234" w:rsidRDefault="004C5684" w:rsidP="00A60234">
      <w:pPr>
        <w:pStyle w:val="a3"/>
        <w:numPr>
          <w:ilvl w:val="0"/>
          <w:numId w:val="12"/>
        </w:numPr>
        <w:autoSpaceDE w:val="0"/>
        <w:autoSpaceDN w:val="0"/>
        <w:adjustRightInd w:val="0"/>
        <w:ind w:left="1324"/>
        <w:jc w:val="both"/>
        <w:rPr>
          <w:rStyle w:val="A20"/>
          <w:rFonts w:cs="Times New Roman"/>
          <w:sz w:val="24"/>
          <w:szCs w:val="24"/>
        </w:rPr>
      </w:pPr>
      <w:r w:rsidRPr="00A60234">
        <w:rPr>
          <w:rStyle w:val="A20"/>
          <w:rFonts w:cs="Times New Roman"/>
          <w:sz w:val="24"/>
          <w:szCs w:val="24"/>
        </w:rPr>
        <w:t>Применяются меры, направленные на со</w:t>
      </w:r>
      <w:r w:rsidRPr="00A60234">
        <w:rPr>
          <w:rStyle w:val="A20"/>
          <w:rFonts w:cs="Times New Roman"/>
          <w:sz w:val="24"/>
          <w:szCs w:val="24"/>
        </w:rPr>
        <w:softHyphen/>
        <w:t>кращение незаконного обналичивания</w:t>
      </w:r>
      <w:r w:rsidR="00FC35F0" w:rsidRPr="00A60234">
        <w:rPr>
          <w:rStyle w:val="A20"/>
          <w:rFonts w:cs="Times New Roman"/>
          <w:sz w:val="24"/>
          <w:szCs w:val="24"/>
        </w:rPr>
        <w:t>:</w:t>
      </w:r>
      <w:r w:rsidRPr="00A60234">
        <w:rPr>
          <w:rStyle w:val="A20"/>
          <w:rFonts w:cs="Times New Roman"/>
          <w:sz w:val="24"/>
          <w:szCs w:val="24"/>
        </w:rPr>
        <w:t xml:space="preserve"> применение к клиентам заградительных мер, расширение</w:t>
      </w:r>
      <w:r w:rsidRPr="00A60234">
        <w:rPr>
          <w:rStyle w:val="A90"/>
          <w:rFonts w:cs="Times New Roman"/>
          <w:sz w:val="24"/>
          <w:szCs w:val="24"/>
        </w:rPr>
        <w:t xml:space="preserve"> </w:t>
      </w:r>
      <w:r w:rsidRPr="00A60234">
        <w:rPr>
          <w:rStyle w:val="A20"/>
          <w:rFonts w:cs="Times New Roman"/>
          <w:sz w:val="24"/>
          <w:szCs w:val="24"/>
        </w:rPr>
        <w:t>характеристик операций с наличными средствами, поступающих в Росфинмониторинг</w:t>
      </w:r>
      <w:r w:rsidR="00FC35F0" w:rsidRPr="00A60234">
        <w:rPr>
          <w:rStyle w:val="A20"/>
          <w:rFonts w:cs="Times New Roman"/>
          <w:sz w:val="24"/>
          <w:szCs w:val="24"/>
        </w:rPr>
        <w:t>.</w:t>
      </w:r>
    </w:p>
    <w:p w14:paraId="068A5259" w14:textId="77777777" w:rsidR="004C5684" w:rsidRPr="00A60234" w:rsidRDefault="004C5684" w:rsidP="00A60234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14:paraId="3548A71B" w14:textId="3F3F8A34" w:rsidR="00E94A66" w:rsidRPr="00A60234" w:rsidRDefault="00E94A66" w:rsidP="00A602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14:paraId="6BD5D4D8" w14:textId="31CBAED4" w:rsidR="00E94A66" w:rsidRPr="00A60234" w:rsidRDefault="00E61AE2" w:rsidP="00A60234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2B2E33"/>
          <w:spacing w:val="-3"/>
          <w:lang w:val="ru-RU"/>
        </w:rPr>
      </w:pPr>
      <w:r w:rsidRPr="00A60234">
        <w:rPr>
          <w:color w:val="2B2E33"/>
          <w:spacing w:val="-3"/>
          <w:lang w:val="ru-RU"/>
        </w:rPr>
        <w:t xml:space="preserve">Платформа </w:t>
      </w:r>
      <w:r w:rsidR="00E94A66" w:rsidRPr="00A60234">
        <w:rPr>
          <w:color w:val="2B2E33"/>
          <w:spacing w:val="-3"/>
          <w:lang w:val="ru-RU"/>
        </w:rPr>
        <w:t>ЗСК</w:t>
      </w:r>
      <w:r w:rsidR="00E94A66" w:rsidRPr="00A60234">
        <w:rPr>
          <w:color w:val="2B2E33"/>
          <w:spacing w:val="-3"/>
        </w:rPr>
        <w:t> </w:t>
      </w:r>
      <w:r w:rsidRPr="00A60234">
        <w:rPr>
          <w:color w:val="2B2E33"/>
          <w:spacing w:val="-3"/>
          <w:lang w:val="ru-RU"/>
        </w:rPr>
        <w:t xml:space="preserve">располагает сведениями </w:t>
      </w:r>
      <w:r w:rsidR="00E94A66" w:rsidRPr="00A60234">
        <w:rPr>
          <w:color w:val="2B2E33"/>
          <w:spacing w:val="-3"/>
          <w:lang w:val="ru-RU"/>
        </w:rPr>
        <w:t>о</w:t>
      </w:r>
      <w:r w:rsidR="00E94A66" w:rsidRPr="00A60234">
        <w:rPr>
          <w:color w:val="2B2E33"/>
          <w:spacing w:val="-3"/>
        </w:rPr>
        <w:t> </w:t>
      </w:r>
      <w:r w:rsidR="00E94A66" w:rsidRPr="00A60234">
        <w:rPr>
          <w:color w:val="2B2E33"/>
          <w:spacing w:val="-3"/>
          <w:lang w:val="ru-RU"/>
        </w:rPr>
        <w:t>7</w:t>
      </w:r>
      <w:r w:rsidR="00E94A66" w:rsidRPr="00A60234">
        <w:rPr>
          <w:color w:val="2B2E33"/>
          <w:spacing w:val="-3"/>
        </w:rPr>
        <w:t> </w:t>
      </w:r>
      <w:r w:rsidRPr="00A60234">
        <w:rPr>
          <w:color w:val="2B2E33"/>
          <w:spacing w:val="-3"/>
          <w:lang w:val="ru-RU"/>
        </w:rPr>
        <w:t>миллионах</w:t>
      </w:r>
      <w:r w:rsidR="00E94A66" w:rsidRPr="00A60234">
        <w:rPr>
          <w:color w:val="2B2E33"/>
          <w:spacing w:val="-3"/>
          <w:lang w:val="ru-RU"/>
        </w:rPr>
        <w:t xml:space="preserve"> юридических лиц</w:t>
      </w:r>
      <w:r w:rsidR="00E94A66" w:rsidRPr="00A60234">
        <w:rPr>
          <w:color w:val="2B2E33"/>
          <w:spacing w:val="-3"/>
        </w:rPr>
        <w:t> </w:t>
      </w:r>
      <w:r w:rsidR="00E94A66" w:rsidRPr="00A60234">
        <w:rPr>
          <w:color w:val="2B2E33"/>
          <w:spacing w:val="-3"/>
          <w:lang w:val="ru-RU"/>
        </w:rPr>
        <w:t>и</w:t>
      </w:r>
      <w:r w:rsidR="00E94A66" w:rsidRPr="00A60234">
        <w:rPr>
          <w:color w:val="2B2E33"/>
          <w:spacing w:val="-3"/>
        </w:rPr>
        <w:t> </w:t>
      </w:r>
      <w:r w:rsidRPr="00A60234">
        <w:rPr>
          <w:color w:val="2B2E33"/>
          <w:spacing w:val="-3"/>
          <w:lang w:val="ru-RU"/>
        </w:rPr>
        <w:t>индивидуальных предпринимателей, ф</w:t>
      </w:r>
      <w:r w:rsidR="00E94A66" w:rsidRPr="00A60234">
        <w:rPr>
          <w:color w:val="2B2E33"/>
          <w:spacing w:val="-3"/>
          <w:lang w:val="ru-RU"/>
        </w:rPr>
        <w:t>изических лиц</w:t>
      </w:r>
      <w:r w:rsidR="00E94A66" w:rsidRPr="00A60234">
        <w:rPr>
          <w:color w:val="2B2E33"/>
          <w:spacing w:val="-3"/>
        </w:rPr>
        <w:t> </w:t>
      </w:r>
      <w:r w:rsidR="00E94A66" w:rsidRPr="00A60234">
        <w:rPr>
          <w:color w:val="2B2E33"/>
          <w:spacing w:val="-3"/>
          <w:lang w:val="ru-RU"/>
        </w:rPr>
        <w:t>она</w:t>
      </w:r>
      <w:r w:rsidR="00E94A66" w:rsidRPr="00A60234">
        <w:rPr>
          <w:color w:val="2B2E33"/>
          <w:spacing w:val="-3"/>
        </w:rPr>
        <w:t> </w:t>
      </w:r>
      <w:r w:rsidR="00E94A66" w:rsidRPr="00A60234">
        <w:rPr>
          <w:color w:val="2B2E33"/>
          <w:spacing w:val="-3"/>
          <w:lang w:val="ru-RU"/>
        </w:rPr>
        <w:t>не</w:t>
      </w:r>
      <w:r w:rsidR="00E94A66" w:rsidRPr="00A60234">
        <w:rPr>
          <w:color w:val="2B2E33"/>
          <w:spacing w:val="-3"/>
        </w:rPr>
        <w:t> </w:t>
      </w:r>
      <w:r w:rsidR="00E94A66" w:rsidRPr="00A60234">
        <w:rPr>
          <w:color w:val="2B2E33"/>
          <w:spacing w:val="-3"/>
          <w:lang w:val="ru-RU"/>
        </w:rPr>
        <w:t>оценивает.</w:t>
      </w:r>
      <w:r w:rsidR="00FC35F0" w:rsidRPr="00A60234">
        <w:rPr>
          <w:color w:val="2B2E33"/>
          <w:spacing w:val="-3"/>
          <w:lang w:val="ru-RU"/>
        </w:rPr>
        <w:t xml:space="preserve"> </w:t>
      </w:r>
      <w:r w:rsidR="00E94A66" w:rsidRPr="00A60234">
        <w:rPr>
          <w:color w:val="2B2E33"/>
          <w:spacing w:val="-3"/>
          <w:lang w:val="ru-RU"/>
        </w:rPr>
        <w:t>Банк России на</w:t>
      </w:r>
      <w:r w:rsidR="00E94A66" w:rsidRPr="00A60234">
        <w:rPr>
          <w:color w:val="2B2E33"/>
          <w:spacing w:val="-3"/>
        </w:rPr>
        <w:t> </w:t>
      </w:r>
      <w:r w:rsidR="00E94A66" w:rsidRPr="00A60234">
        <w:rPr>
          <w:color w:val="2B2E33"/>
          <w:spacing w:val="-3"/>
          <w:lang w:val="ru-RU"/>
        </w:rPr>
        <w:t>основе собственных аналитических данных распределил банковских клиентов на</w:t>
      </w:r>
      <w:r w:rsidR="00E94A66" w:rsidRPr="00A60234">
        <w:rPr>
          <w:color w:val="2B2E33"/>
          <w:spacing w:val="-3"/>
        </w:rPr>
        <w:t> </w:t>
      </w:r>
      <w:r w:rsidR="00E94A66" w:rsidRPr="00A60234">
        <w:rPr>
          <w:color w:val="2B2E33"/>
          <w:spacing w:val="-3"/>
          <w:lang w:val="ru-RU"/>
        </w:rPr>
        <w:t>три</w:t>
      </w:r>
      <w:r w:rsidR="00E94A66" w:rsidRPr="00A60234">
        <w:rPr>
          <w:color w:val="2B2E33"/>
          <w:spacing w:val="-3"/>
        </w:rPr>
        <w:t> </w:t>
      </w:r>
      <w:r w:rsidR="00E94A66" w:rsidRPr="00A60234">
        <w:rPr>
          <w:color w:val="2B2E33"/>
          <w:spacing w:val="-3"/>
          <w:lang w:val="ru-RU"/>
        </w:rPr>
        <w:t>группы</w:t>
      </w:r>
      <w:r w:rsidR="00E94A66" w:rsidRPr="00A60234">
        <w:rPr>
          <w:color w:val="2B2E33"/>
          <w:spacing w:val="-3"/>
        </w:rPr>
        <w:t> </w:t>
      </w:r>
      <w:r w:rsidR="00E94A66" w:rsidRPr="00A60234">
        <w:rPr>
          <w:color w:val="2B2E33"/>
          <w:spacing w:val="-3"/>
          <w:lang w:val="ru-RU"/>
        </w:rPr>
        <w:t>— низкого, среднего и</w:t>
      </w:r>
      <w:r w:rsidR="00E94A66" w:rsidRPr="00A60234">
        <w:rPr>
          <w:color w:val="2B2E33"/>
          <w:spacing w:val="-3"/>
        </w:rPr>
        <w:t> </w:t>
      </w:r>
      <w:r w:rsidR="00E94A66" w:rsidRPr="00A60234">
        <w:rPr>
          <w:color w:val="2B2E33"/>
          <w:spacing w:val="-3"/>
          <w:lang w:val="ru-RU"/>
        </w:rPr>
        <w:t>высокого уровня риска («зеленую», «желтую» и</w:t>
      </w:r>
      <w:r w:rsidR="00E94A66" w:rsidRPr="00A60234">
        <w:rPr>
          <w:color w:val="2B2E33"/>
          <w:spacing w:val="-3"/>
        </w:rPr>
        <w:t> </w:t>
      </w:r>
      <w:r w:rsidR="00E94A66" w:rsidRPr="00A60234">
        <w:rPr>
          <w:color w:val="2B2E33"/>
          <w:spacing w:val="-3"/>
          <w:lang w:val="ru-RU"/>
        </w:rPr>
        <w:t>«красную»). При этом 99% относится к группе низкого уровня риска, 0,3% - к группе среднего риска и 0,7% к группе высокого риска.</w:t>
      </w:r>
    </w:p>
    <w:p w14:paraId="7498E351" w14:textId="2E38653E" w:rsidR="00E94A66" w:rsidRPr="00A60234" w:rsidRDefault="0055783B" w:rsidP="00A60234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2B2E33"/>
          <w:spacing w:val="-3"/>
          <w:lang w:val="ru-RU"/>
        </w:rPr>
      </w:pPr>
      <w:r w:rsidRPr="00A60234">
        <w:rPr>
          <w:color w:val="2B2E33"/>
          <w:spacing w:val="-3"/>
          <w:shd w:val="clear" w:color="auto" w:fill="FFFFFF"/>
          <w:lang w:val="ru-RU"/>
        </w:rPr>
        <w:t>Банк России принимает решение об</w:t>
      </w:r>
      <w:r w:rsidRPr="00A60234">
        <w:rPr>
          <w:color w:val="2B2E33"/>
          <w:spacing w:val="-3"/>
          <w:shd w:val="clear" w:color="auto" w:fill="FFFFFF"/>
        </w:rPr>
        <w:t> </w:t>
      </w:r>
      <w:r w:rsidRPr="00A60234">
        <w:rPr>
          <w:color w:val="2B2E33"/>
          <w:spacing w:val="-3"/>
          <w:shd w:val="clear" w:color="auto" w:fill="FFFFFF"/>
          <w:lang w:val="ru-RU"/>
        </w:rPr>
        <w:t>отнесении юридического лица, индивидуального предпринимателя к</w:t>
      </w:r>
      <w:r w:rsidRPr="00A60234">
        <w:rPr>
          <w:color w:val="2B2E33"/>
          <w:spacing w:val="-3"/>
          <w:shd w:val="clear" w:color="auto" w:fill="FFFFFF"/>
        </w:rPr>
        <w:t> </w:t>
      </w:r>
      <w:r w:rsidRPr="00A60234">
        <w:rPr>
          <w:color w:val="2B2E33"/>
          <w:spacing w:val="-3"/>
          <w:shd w:val="clear" w:color="auto" w:fill="FFFFFF"/>
          <w:lang w:val="ru-RU"/>
        </w:rPr>
        <w:t>группам риска совершения подозрительных операций</w:t>
      </w:r>
      <w:r w:rsidR="00E61AE2" w:rsidRPr="00A60234">
        <w:rPr>
          <w:color w:val="2B2E33"/>
          <w:spacing w:val="-3"/>
          <w:shd w:val="clear" w:color="auto" w:fill="FFFFFF"/>
          <w:lang w:val="ru-RU"/>
        </w:rPr>
        <w:t xml:space="preserve"> по совокупности критериев</w:t>
      </w:r>
      <w:r w:rsidR="00F317F4">
        <w:rPr>
          <w:color w:val="2B2E33"/>
          <w:spacing w:val="-3"/>
          <w:shd w:val="clear" w:color="auto" w:fill="FFFFFF"/>
          <w:lang w:val="ru-RU"/>
        </w:rPr>
        <w:t xml:space="preserve">. </w:t>
      </w:r>
      <w:r w:rsidR="00E61AE2" w:rsidRPr="00A60234">
        <w:rPr>
          <w:color w:val="2B2E33"/>
          <w:spacing w:val="-3"/>
          <w:shd w:val="clear" w:color="auto" w:fill="FFFFFF"/>
          <w:lang w:val="ru-RU"/>
        </w:rPr>
        <w:t>Определенные Банком России</w:t>
      </w:r>
      <w:r w:rsidR="00FC35F0" w:rsidRPr="00A60234">
        <w:rPr>
          <w:color w:val="2B2E33"/>
          <w:spacing w:val="-3"/>
          <w:lang w:val="ru-RU"/>
        </w:rPr>
        <w:t xml:space="preserve"> критерии могут применяться </w:t>
      </w:r>
      <w:r w:rsidR="00E94A66" w:rsidRPr="00A60234">
        <w:rPr>
          <w:color w:val="2B2E33"/>
          <w:spacing w:val="-3"/>
          <w:lang w:val="ru-RU"/>
        </w:rPr>
        <w:t>как</w:t>
      </w:r>
      <w:r w:rsidR="00E94A66" w:rsidRPr="00A60234">
        <w:rPr>
          <w:color w:val="2B2E33"/>
          <w:spacing w:val="-3"/>
        </w:rPr>
        <w:t> </w:t>
      </w:r>
      <w:r w:rsidR="00E94A66" w:rsidRPr="00A60234">
        <w:rPr>
          <w:color w:val="2B2E33"/>
          <w:spacing w:val="-3"/>
          <w:lang w:val="ru-RU"/>
        </w:rPr>
        <w:t>самостоятельно, так</w:t>
      </w:r>
      <w:r w:rsidR="00E94A66" w:rsidRPr="00A60234">
        <w:rPr>
          <w:color w:val="2B2E33"/>
          <w:spacing w:val="-3"/>
        </w:rPr>
        <w:t> </w:t>
      </w:r>
      <w:r w:rsidR="00E94A66" w:rsidRPr="00A60234">
        <w:rPr>
          <w:color w:val="2B2E33"/>
          <w:spacing w:val="-3"/>
          <w:lang w:val="ru-RU"/>
        </w:rPr>
        <w:t>и</w:t>
      </w:r>
      <w:r w:rsidR="00E94A66" w:rsidRPr="00A60234">
        <w:rPr>
          <w:color w:val="2B2E33"/>
          <w:spacing w:val="-3"/>
        </w:rPr>
        <w:t> </w:t>
      </w:r>
      <w:r w:rsidR="00E94A66" w:rsidRPr="00A60234">
        <w:rPr>
          <w:color w:val="2B2E33"/>
          <w:spacing w:val="-3"/>
          <w:lang w:val="ru-RU"/>
        </w:rPr>
        <w:t>в</w:t>
      </w:r>
      <w:r w:rsidR="00E94A66" w:rsidRPr="00A60234">
        <w:rPr>
          <w:color w:val="2B2E33"/>
          <w:spacing w:val="-3"/>
        </w:rPr>
        <w:t> </w:t>
      </w:r>
      <w:r w:rsidR="00E94A66" w:rsidRPr="00A60234">
        <w:rPr>
          <w:color w:val="2B2E33"/>
          <w:spacing w:val="-3"/>
          <w:lang w:val="ru-RU"/>
        </w:rPr>
        <w:t>совокупности. При</w:t>
      </w:r>
      <w:r w:rsidR="00E94A66" w:rsidRPr="00A60234">
        <w:rPr>
          <w:color w:val="2B2E33"/>
          <w:spacing w:val="-3"/>
        </w:rPr>
        <w:t> </w:t>
      </w:r>
      <w:r w:rsidR="00E94A66" w:rsidRPr="00A60234">
        <w:rPr>
          <w:color w:val="2B2E33"/>
          <w:spacing w:val="-3"/>
          <w:lang w:val="ru-RU"/>
        </w:rPr>
        <w:t>этом критерии, непосредственно не</w:t>
      </w:r>
      <w:r w:rsidR="00E94A66" w:rsidRPr="00A60234">
        <w:rPr>
          <w:color w:val="2B2E33"/>
          <w:spacing w:val="-3"/>
        </w:rPr>
        <w:t> </w:t>
      </w:r>
      <w:r w:rsidR="00E94A66" w:rsidRPr="00A60234">
        <w:rPr>
          <w:color w:val="2B2E33"/>
          <w:spacing w:val="-3"/>
          <w:lang w:val="ru-RU"/>
        </w:rPr>
        <w:t>характеризующие подозрительные операции, не</w:t>
      </w:r>
      <w:r w:rsidR="00E94A66" w:rsidRPr="00A60234">
        <w:rPr>
          <w:color w:val="2B2E33"/>
          <w:spacing w:val="-3"/>
        </w:rPr>
        <w:t> </w:t>
      </w:r>
      <w:r w:rsidR="00E94A66" w:rsidRPr="00A60234">
        <w:rPr>
          <w:color w:val="2B2E33"/>
          <w:spacing w:val="-3"/>
          <w:lang w:val="ru-RU"/>
        </w:rPr>
        <w:t>являются самостоятельными основаниями для</w:t>
      </w:r>
      <w:r w:rsidR="00E94A66" w:rsidRPr="00A60234">
        <w:rPr>
          <w:color w:val="2B2E33"/>
          <w:spacing w:val="-3"/>
        </w:rPr>
        <w:t> </w:t>
      </w:r>
      <w:r w:rsidR="00E94A66" w:rsidRPr="00A60234">
        <w:rPr>
          <w:color w:val="2B2E33"/>
          <w:spacing w:val="-3"/>
          <w:lang w:val="ru-RU"/>
        </w:rPr>
        <w:t>отнесения Банком России юридических</w:t>
      </w:r>
      <w:r w:rsidR="00E94A66" w:rsidRPr="00A60234">
        <w:rPr>
          <w:color w:val="2B2E33"/>
          <w:spacing w:val="-3"/>
        </w:rPr>
        <w:t> </w:t>
      </w:r>
      <w:r w:rsidR="00E94A66" w:rsidRPr="00A60234">
        <w:rPr>
          <w:color w:val="2B2E33"/>
          <w:spacing w:val="-3"/>
          <w:lang w:val="ru-RU"/>
        </w:rPr>
        <w:t>лиц</w:t>
      </w:r>
      <w:r w:rsidR="00E94A66" w:rsidRPr="00A60234">
        <w:rPr>
          <w:color w:val="2B2E33"/>
          <w:spacing w:val="-3"/>
        </w:rPr>
        <w:t> </w:t>
      </w:r>
      <w:r w:rsidR="00E94A66" w:rsidRPr="00A60234">
        <w:rPr>
          <w:color w:val="2B2E33"/>
          <w:spacing w:val="-3"/>
          <w:lang w:val="ru-RU"/>
        </w:rPr>
        <w:t>(индивидуальных предпринимателей), зарегистрированных в</w:t>
      </w:r>
      <w:r w:rsidR="00E94A66" w:rsidRPr="00A60234">
        <w:rPr>
          <w:color w:val="2B2E33"/>
          <w:spacing w:val="-3"/>
        </w:rPr>
        <w:t> </w:t>
      </w:r>
      <w:r w:rsidR="00E94A66" w:rsidRPr="00A60234">
        <w:rPr>
          <w:color w:val="2B2E33"/>
          <w:spacing w:val="-3"/>
          <w:lang w:val="ru-RU"/>
        </w:rPr>
        <w:t>соответствии с</w:t>
      </w:r>
      <w:r w:rsidR="00E94A66" w:rsidRPr="00A60234">
        <w:rPr>
          <w:color w:val="2B2E33"/>
          <w:spacing w:val="-3"/>
        </w:rPr>
        <w:t> </w:t>
      </w:r>
      <w:r w:rsidR="00E94A66" w:rsidRPr="00A60234">
        <w:rPr>
          <w:color w:val="2B2E33"/>
          <w:spacing w:val="-3"/>
          <w:lang w:val="ru-RU"/>
        </w:rPr>
        <w:t>законодательством Российской Федерации, к</w:t>
      </w:r>
      <w:r w:rsidR="00E94A66" w:rsidRPr="00A60234">
        <w:rPr>
          <w:color w:val="2B2E33"/>
          <w:spacing w:val="-3"/>
        </w:rPr>
        <w:t> </w:t>
      </w:r>
      <w:r w:rsidR="00E94A66" w:rsidRPr="00A60234">
        <w:rPr>
          <w:color w:val="2B2E33"/>
          <w:spacing w:val="-3"/>
          <w:lang w:val="ru-RU"/>
        </w:rPr>
        <w:t>группе высокой степени (уровня) риска совершения подозрительных операций.</w:t>
      </w:r>
    </w:p>
    <w:p w14:paraId="7267801E" w14:textId="3B5C1768" w:rsidR="00E61AE2" w:rsidRPr="00A60234" w:rsidRDefault="00E61AE2" w:rsidP="00A60234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2B2E33"/>
          <w:spacing w:val="-3"/>
          <w:lang w:val="ru-RU"/>
        </w:rPr>
      </w:pPr>
      <w:r w:rsidRPr="00A60234">
        <w:rPr>
          <w:color w:val="2B2E33"/>
          <w:spacing w:val="-3"/>
          <w:shd w:val="clear" w:color="auto" w:fill="FFFFFF"/>
          <w:lang w:val="ru-RU"/>
        </w:rPr>
        <w:t>Информация платформы</w:t>
      </w:r>
      <w:r w:rsidRPr="00A60234">
        <w:rPr>
          <w:color w:val="2B2E33"/>
          <w:spacing w:val="-3"/>
          <w:shd w:val="clear" w:color="auto" w:fill="FFFFFF"/>
        </w:rPr>
        <w:t> </w:t>
      </w:r>
      <w:r w:rsidRPr="00A60234">
        <w:rPr>
          <w:color w:val="2B2E33"/>
          <w:spacing w:val="-3"/>
          <w:shd w:val="clear" w:color="auto" w:fill="FFFFFF"/>
          <w:lang w:val="ru-RU"/>
        </w:rPr>
        <w:t>ЗСК</w:t>
      </w:r>
      <w:r w:rsidRPr="00A60234">
        <w:rPr>
          <w:color w:val="2B2E33"/>
          <w:spacing w:val="-3"/>
          <w:shd w:val="clear" w:color="auto" w:fill="FFFFFF"/>
        </w:rPr>
        <w:t> </w:t>
      </w:r>
      <w:r w:rsidRPr="00A60234">
        <w:rPr>
          <w:color w:val="2B2E33"/>
          <w:spacing w:val="-3"/>
          <w:shd w:val="clear" w:color="auto" w:fill="FFFFFF"/>
          <w:lang w:val="ru-RU"/>
        </w:rPr>
        <w:t>является для</w:t>
      </w:r>
      <w:r w:rsidRPr="00A60234">
        <w:rPr>
          <w:color w:val="2B2E33"/>
          <w:spacing w:val="-3"/>
          <w:shd w:val="clear" w:color="auto" w:fill="FFFFFF"/>
        </w:rPr>
        <w:t> </w:t>
      </w:r>
      <w:r w:rsidRPr="00A60234">
        <w:rPr>
          <w:color w:val="2B2E33"/>
          <w:spacing w:val="-3"/>
          <w:shd w:val="clear" w:color="auto" w:fill="FFFFFF"/>
          <w:lang w:val="ru-RU"/>
        </w:rPr>
        <w:t>банков вспомогательной, окончательную оценку о</w:t>
      </w:r>
      <w:r w:rsidRPr="00A60234">
        <w:rPr>
          <w:color w:val="2B2E33"/>
          <w:spacing w:val="-3"/>
          <w:shd w:val="clear" w:color="auto" w:fill="FFFFFF"/>
        </w:rPr>
        <w:t> </w:t>
      </w:r>
      <w:r w:rsidRPr="00A60234">
        <w:rPr>
          <w:color w:val="2B2E33"/>
          <w:spacing w:val="-3"/>
          <w:shd w:val="clear" w:color="auto" w:fill="FFFFFF"/>
          <w:lang w:val="ru-RU"/>
        </w:rPr>
        <w:t>добросовестности бизнеса своих клиентов с</w:t>
      </w:r>
      <w:r w:rsidRPr="00A60234">
        <w:rPr>
          <w:color w:val="2B2E33"/>
          <w:spacing w:val="-3"/>
          <w:shd w:val="clear" w:color="auto" w:fill="FFFFFF"/>
        </w:rPr>
        <w:t> </w:t>
      </w:r>
      <w:r w:rsidRPr="00A60234">
        <w:rPr>
          <w:color w:val="2B2E33"/>
          <w:spacing w:val="-3"/>
          <w:shd w:val="clear" w:color="auto" w:fill="FFFFFF"/>
          <w:lang w:val="ru-RU"/>
        </w:rPr>
        <w:t>точки зрения законодательства в области ПОД/ФТ они</w:t>
      </w:r>
      <w:r w:rsidRPr="00A60234">
        <w:rPr>
          <w:color w:val="2B2E33"/>
          <w:spacing w:val="-3"/>
          <w:shd w:val="clear" w:color="auto" w:fill="FFFFFF"/>
        </w:rPr>
        <w:t> </w:t>
      </w:r>
      <w:r w:rsidRPr="00A60234">
        <w:rPr>
          <w:color w:val="2B2E33"/>
          <w:spacing w:val="-3"/>
          <w:shd w:val="clear" w:color="auto" w:fill="FFFFFF"/>
          <w:lang w:val="ru-RU"/>
        </w:rPr>
        <w:t>должны присваивать самостоятельно.</w:t>
      </w:r>
    </w:p>
    <w:p w14:paraId="27A7F18E" w14:textId="77777777" w:rsidR="00D60075" w:rsidRPr="00A60234" w:rsidRDefault="00980493" w:rsidP="00A60234">
      <w:pPr>
        <w:pStyle w:val="a3"/>
        <w:numPr>
          <w:ilvl w:val="0"/>
          <w:numId w:val="9"/>
        </w:numPr>
        <w:ind w:left="0" w:firstLine="11"/>
        <w:jc w:val="both"/>
        <w:rPr>
          <w:b/>
        </w:rPr>
      </w:pPr>
      <w:r w:rsidRPr="00A60234">
        <w:rPr>
          <w:b/>
        </w:rPr>
        <w:t>Принятие и продолжение отношений с клиентом, изучение клиента</w:t>
      </w:r>
    </w:p>
    <w:p w14:paraId="70EA9C37" w14:textId="77777777" w:rsidR="00980493" w:rsidRPr="00A60234" w:rsidRDefault="00980493" w:rsidP="00A60234">
      <w:pPr>
        <w:ind w:firstLine="11"/>
        <w:jc w:val="both"/>
        <w:rPr>
          <w:b/>
        </w:rPr>
      </w:pPr>
    </w:p>
    <w:p w14:paraId="7377DCB1" w14:textId="77777777" w:rsidR="00980493" w:rsidRPr="00A60234" w:rsidRDefault="00980493" w:rsidP="00A60234">
      <w:pPr>
        <w:ind w:firstLine="720"/>
        <w:jc w:val="both"/>
      </w:pPr>
      <w:r w:rsidRPr="00A60234">
        <w:t>Аудитор должен рассмотреть вопрос, является ли значимой для выявления рисков ОД/ФТ информация, полученная при выполнении аудитором процедуры принятия или продолжения отношений с клиентом. Оценка честности и деловой репутации клиента или потенциального клиента проводится на основании общедоступной информации (например, в сети Интернет); информации, полученной из предыдущего опыта его работы с клиентом</w:t>
      </w:r>
      <w:r w:rsidR="00AB603B" w:rsidRPr="00A60234">
        <w:t>;</w:t>
      </w:r>
      <w:r w:rsidRPr="00A60234">
        <w:t xml:space="preserve"> также возможно направление запросов лицам, которые, по мнению аудитора, могут владеть информацией о деловой репутации клиента.</w:t>
      </w:r>
    </w:p>
    <w:p w14:paraId="21718A68" w14:textId="77777777" w:rsidR="00797C38" w:rsidRPr="00A60234" w:rsidRDefault="00797C38" w:rsidP="00A60234">
      <w:pPr>
        <w:ind w:firstLine="720"/>
        <w:jc w:val="both"/>
        <w:rPr>
          <w:b/>
        </w:rPr>
      </w:pPr>
      <w:r w:rsidRPr="00A60234">
        <w:t>Помимо предусмотренных МСА процедур до приема на обслуживание нового клиента или до начала очередного задания с ранее принятым клиентом необходимо провести процедуры по идентификации клиентов, представителей клиента, выгодоприобретателей и бенефициарных владельцев, а также необходимо проверить достоверность сведений, т.е. провести их верификацию.</w:t>
      </w:r>
    </w:p>
    <w:p w14:paraId="1BD76BC9" w14:textId="77777777" w:rsidR="001A1BB4" w:rsidRPr="00A60234" w:rsidRDefault="001A1BB4" w:rsidP="00A60234">
      <w:pPr>
        <w:ind w:firstLine="11"/>
        <w:jc w:val="both"/>
        <w:rPr>
          <w:b/>
        </w:rPr>
      </w:pPr>
    </w:p>
    <w:p w14:paraId="324EB3BF" w14:textId="77777777" w:rsidR="00797C38" w:rsidRPr="00A60234" w:rsidRDefault="00797C38" w:rsidP="00A60234">
      <w:pPr>
        <w:pStyle w:val="a3"/>
        <w:ind w:left="0" w:firstLine="720"/>
        <w:jc w:val="both"/>
      </w:pPr>
      <w:r w:rsidRPr="00A60234">
        <w:t xml:space="preserve">Кроме того, следует убедиться, что клиент, его бенефициарные владельцы, выгодоприобритатели, представители клиента не включены в следующие перечни в личном кабинете аудиторской организации на официальном сайте Росфинмониторинга: </w:t>
      </w:r>
    </w:p>
    <w:p w14:paraId="105262EF" w14:textId="77777777" w:rsidR="00797C38" w:rsidRPr="00A60234" w:rsidRDefault="00797C38" w:rsidP="00A60234">
      <w:pPr>
        <w:pStyle w:val="a3"/>
        <w:numPr>
          <w:ilvl w:val="0"/>
          <w:numId w:val="13"/>
        </w:numPr>
        <w:jc w:val="both"/>
      </w:pPr>
      <w:r w:rsidRPr="00A60234">
        <w:lastRenderedPageBreak/>
        <w:t xml:space="preserve">Перечень организаций и физических лиц, в отношении которых имеются сведения об их причастности к экстремистской деятельности или терроризму; </w:t>
      </w:r>
    </w:p>
    <w:p w14:paraId="43AA154F" w14:textId="77777777" w:rsidR="00797C38" w:rsidRPr="00A60234" w:rsidRDefault="00797C38" w:rsidP="00A60234">
      <w:pPr>
        <w:pStyle w:val="a3"/>
        <w:numPr>
          <w:ilvl w:val="0"/>
          <w:numId w:val="13"/>
        </w:numPr>
        <w:jc w:val="both"/>
      </w:pPr>
      <w:r w:rsidRPr="00A60234">
        <w:t xml:space="preserve">Перечень организаций и физических лиц, в отношении которых имеются сведения об их причастности к распространению оружия массового уничтожения;  </w:t>
      </w:r>
    </w:p>
    <w:p w14:paraId="6F005129" w14:textId="7CEF8D0E" w:rsidR="00797C38" w:rsidRPr="00A60234" w:rsidRDefault="00797C38" w:rsidP="00A60234">
      <w:pPr>
        <w:pStyle w:val="a3"/>
        <w:numPr>
          <w:ilvl w:val="0"/>
          <w:numId w:val="13"/>
        </w:numPr>
        <w:jc w:val="both"/>
      </w:pPr>
      <w:r w:rsidRPr="00A60234">
        <w:t>Перечень лиц, в отношении которых действует решение межведомственной комиссии по противодействию финансированию терроризма о замораживании (блокировании) принадлежащих им денежных средств или ино</w:t>
      </w:r>
      <w:r w:rsidR="005F1871" w:rsidRPr="00A60234">
        <w:t>го имущества (далее – Перечни);</w:t>
      </w:r>
    </w:p>
    <w:p w14:paraId="7A368D73" w14:textId="6CC2B810" w:rsidR="001A1BB4" w:rsidRPr="00A60234" w:rsidRDefault="005F1871" w:rsidP="00A60234">
      <w:pPr>
        <w:pStyle w:val="a3"/>
        <w:numPr>
          <w:ilvl w:val="0"/>
          <w:numId w:val="13"/>
        </w:numPr>
        <w:jc w:val="both"/>
        <w:rPr>
          <w:b/>
        </w:rPr>
      </w:pPr>
      <w:r w:rsidRPr="00A60234">
        <w:t>Перечнем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 или органами, специально созданными решениями Совета Безопасности ООН.</w:t>
      </w:r>
    </w:p>
    <w:p w14:paraId="051C1DF3" w14:textId="77777777" w:rsidR="005F1871" w:rsidRPr="00A60234" w:rsidRDefault="005F1871" w:rsidP="00A60234">
      <w:pPr>
        <w:pStyle w:val="a3"/>
        <w:ind w:left="360"/>
        <w:jc w:val="both"/>
        <w:rPr>
          <w:b/>
        </w:rPr>
      </w:pPr>
    </w:p>
    <w:p w14:paraId="5D25F23A" w14:textId="40C4C39A" w:rsidR="001A1BB4" w:rsidRPr="00A60234" w:rsidRDefault="00797C38" w:rsidP="00A60234">
      <w:pPr>
        <w:pStyle w:val="a3"/>
        <w:numPr>
          <w:ilvl w:val="0"/>
          <w:numId w:val="9"/>
        </w:numPr>
        <w:ind w:left="0" w:firstLine="11"/>
        <w:jc w:val="both"/>
        <w:rPr>
          <w:b/>
        </w:rPr>
      </w:pPr>
      <w:r w:rsidRPr="00A60234">
        <w:rPr>
          <w:b/>
        </w:rPr>
        <w:t xml:space="preserve">Характер и объем понимания </w:t>
      </w:r>
      <w:r w:rsidR="00F74C30" w:rsidRPr="00A60234">
        <w:rPr>
          <w:b/>
        </w:rPr>
        <w:t>системы</w:t>
      </w:r>
      <w:r w:rsidRPr="00A60234">
        <w:rPr>
          <w:b/>
        </w:rPr>
        <w:t xml:space="preserve"> контроля</w:t>
      </w:r>
    </w:p>
    <w:p w14:paraId="5790B2BA" w14:textId="77777777" w:rsidR="00425D20" w:rsidRPr="00A60234" w:rsidRDefault="00425D20" w:rsidP="00A60234">
      <w:pPr>
        <w:pStyle w:val="a3"/>
        <w:ind w:left="0" w:firstLine="11"/>
        <w:jc w:val="both"/>
        <w:rPr>
          <w:b/>
        </w:rPr>
      </w:pPr>
    </w:p>
    <w:p w14:paraId="7ED847D9" w14:textId="77777777" w:rsidR="00A348A3" w:rsidRPr="00A60234" w:rsidRDefault="00A348A3" w:rsidP="00A6023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34">
        <w:rPr>
          <w:rFonts w:ascii="Times New Roman" w:hAnsi="Times New Roman" w:cs="Times New Roman"/>
          <w:sz w:val="24"/>
          <w:szCs w:val="24"/>
          <w:lang w:val="ru-RU"/>
        </w:rPr>
        <w:t>Основными принципами и целями организации в кредитной организации внутреннего контроля в целях противодействия легализации (отмыванию) доходов, полученных преступным путем, и финансированию терроризма (далее - ПОД/ФТ) являются:</w:t>
      </w:r>
    </w:p>
    <w:p w14:paraId="4A493FD9" w14:textId="77777777" w:rsidR="00A348A3" w:rsidRPr="00A60234" w:rsidRDefault="00A348A3" w:rsidP="00A60234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34">
        <w:rPr>
          <w:rFonts w:ascii="Times New Roman" w:hAnsi="Times New Roman" w:cs="Times New Roman"/>
          <w:sz w:val="24"/>
          <w:szCs w:val="24"/>
          <w:lang w:val="ru-RU"/>
        </w:rPr>
        <w:t>обеспечение защиты кредитной организации от проникновения в нее преступных доходов;</w:t>
      </w:r>
    </w:p>
    <w:p w14:paraId="772356F3" w14:textId="77777777" w:rsidR="00A348A3" w:rsidRPr="00A60234" w:rsidRDefault="00A348A3" w:rsidP="00A60234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34">
        <w:rPr>
          <w:rFonts w:ascii="Times New Roman" w:hAnsi="Times New Roman" w:cs="Times New Roman"/>
          <w:sz w:val="24"/>
          <w:szCs w:val="24"/>
          <w:lang w:val="ru-RU"/>
        </w:rPr>
        <w:t>управление риском легализации (отмывания) доходов, полученных преступным путем, и финансирования терроризма в целях его минимизации;</w:t>
      </w:r>
    </w:p>
    <w:p w14:paraId="21CB906E" w14:textId="77777777" w:rsidR="00A348A3" w:rsidRPr="00A60234" w:rsidRDefault="00A348A3" w:rsidP="00A60234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34">
        <w:rPr>
          <w:rFonts w:ascii="Times New Roman" w:hAnsi="Times New Roman" w:cs="Times New Roman"/>
          <w:sz w:val="24"/>
          <w:szCs w:val="24"/>
          <w:lang w:val="ru-RU"/>
        </w:rPr>
        <w:t>обеспечение независимости специального должностного лица, ответственного за соблюдение ПВК по ПОД/ФТ;</w:t>
      </w:r>
    </w:p>
    <w:p w14:paraId="19709206" w14:textId="77777777" w:rsidR="00A348A3" w:rsidRPr="00A60234" w:rsidRDefault="00A348A3" w:rsidP="00A60234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34">
        <w:rPr>
          <w:rFonts w:ascii="Times New Roman" w:hAnsi="Times New Roman" w:cs="Times New Roman"/>
          <w:sz w:val="24"/>
          <w:szCs w:val="24"/>
          <w:lang w:val="ru-RU"/>
        </w:rPr>
        <w:t>участие сотрудников подразделения, ответственного за организацию системы ПОД/ФТ и реализацию ПВК по ПОД/ФТ, подразделений кредитной организации, участвующих в осуществлении банковских операций и других сделок, юридического подразделения, подразделения безопасности, службы внутреннего аудита, службы внутреннего контроля кредитной организации независимо от занимаемой должности в рамках их компетенции в выявлении операций, подлежащих обязательному контролю, и операций, в отношении которых возникают подозрения, что они осуществляются в целях легализации (отмывания) доходов, полученных преступным путем, или финансирования терроризма.</w:t>
      </w:r>
    </w:p>
    <w:p w14:paraId="342CEB13" w14:textId="77777777" w:rsidR="00A348A3" w:rsidRPr="00A60234" w:rsidRDefault="00A348A3" w:rsidP="00A60234">
      <w:pPr>
        <w:ind w:firstLine="11"/>
        <w:jc w:val="both"/>
      </w:pPr>
    </w:p>
    <w:p w14:paraId="2D7BACD2" w14:textId="77777777" w:rsidR="00B91CF5" w:rsidRPr="00A60234" w:rsidRDefault="00B91CF5" w:rsidP="00A6023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A60234">
        <w:rPr>
          <w:rFonts w:eastAsiaTheme="minorHAnsi"/>
          <w:lang w:eastAsia="en-US"/>
        </w:rPr>
        <w:t>Риск-ориентированный подход в целях противодействия легализации (отмыванию) доходов, полученных преступным путем, и финансированию терроризма (далее - ПОД/ФТ) является основой Международных стандартов по противодействию отмыванию денег, финансированию терроризма и финансированию распространения оружия массового уничтожения Группы разработки финансовых мер борьбы с отмыванием денег (ФАТФ).</w:t>
      </w:r>
    </w:p>
    <w:p w14:paraId="3C01D601" w14:textId="77777777" w:rsidR="00B91CF5" w:rsidRPr="00A60234" w:rsidRDefault="00B91CF5" w:rsidP="00A6023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14:paraId="7C18C2F1" w14:textId="61E8D35F" w:rsidR="00353E0F" w:rsidRPr="00A60234" w:rsidRDefault="00353E0F" w:rsidP="00A6023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A60234">
        <w:rPr>
          <w:rFonts w:eastAsiaTheme="minorHAnsi"/>
          <w:lang w:eastAsia="en-US"/>
        </w:rPr>
        <w:t>Характер, сроки и объем аудиторских процедур определяется с учетом и в ответ на оцененные риски существенного искажения на уровне предпосылок подготовки бухгалтерской (финансовой) отчетности.</w:t>
      </w:r>
    </w:p>
    <w:p w14:paraId="0237D793" w14:textId="77777777" w:rsidR="00B91CF5" w:rsidRPr="00A60234" w:rsidRDefault="00B91CF5" w:rsidP="00A6023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14:paraId="5BBF64FE" w14:textId="3A8B047C" w:rsidR="00353E0F" w:rsidRPr="00A60234" w:rsidRDefault="00353E0F" w:rsidP="00A6023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A60234">
        <w:rPr>
          <w:rFonts w:eastAsiaTheme="minorHAnsi"/>
          <w:lang w:eastAsia="en-US"/>
        </w:rPr>
        <w:t xml:space="preserve">Соблюдение законодательных требований в области </w:t>
      </w:r>
      <w:r w:rsidR="00B91CF5" w:rsidRPr="00A60234">
        <w:rPr>
          <w:rFonts w:eastAsiaTheme="minorHAnsi"/>
          <w:lang w:eastAsia="en-US"/>
        </w:rPr>
        <w:t>ПОД/ФТ,</w:t>
      </w:r>
      <w:r w:rsidRPr="00A60234">
        <w:rPr>
          <w:rFonts w:eastAsiaTheme="minorHAnsi"/>
          <w:lang w:eastAsia="en-US"/>
        </w:rPr>
        <w:t xml:space="preserve"> </w:t>
      </w:r>
      <w:r w:rsidR="00B91CF5" w:rsidRPr="00A60234">
        <w:rPr>
          <w:rFonts w:eastAsiaTheme="minorHAnsi"/>
          <w:lang w:eastAsia="en-US"/>
        </w:rPr>
        <w:t>к</w:t>
      </w:r>
      <w:r w:rsidRPr="00A60234">
        <w:rPr>
          <w:rFonts w:eastAsiaTheme="minorHAnsi"/>
          <w:lang w:eastAsia="en-US"/>
        </w:rPr>
        <w:t>ак правило, является областями наиболее высокого риска в кредитных организациях</w:t>
      </w:r>
      <w:r w:rsidR="00B91CF5" w:rsidRPr="00A60234">
        <w:rPr>
          <w:rFonts w:eastAsiaTheme="minorHAnsi"/>
          <w:lang w:eastAsia="en-US"/>
        </w:rPr>
        <w:t>.</w:t>
      </w:r>
    </w:p>
    <w:p w14:paraId="24BA25D5" w14:textId="144A1255" w:rsidR="00353E0F" w:rsidRPr="00A60234" w:rsidRDefault="00353E0F" w:rsidP="00A602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9AF0893" w14:textId="705D54DC" w:rsidR="00353E0F" w:rsidRPr="00A60234" w:rsidRDefault="00353E0F" w:rsidP="00A6023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A60234">
        <w:rPr>
          <w:rFonts w:eastAsiaTheme="minorHAnsi"/>
          <w:lang w:eastAsia="en-US"/>
        </w:rPr>
        <w:t xml:space="preserve">В случае выявления аудиторской организацией обстоятельств в области ПОД/ФТ, в отношении которых руководством кредитной организации не предоставлены надлежащие </w:t>
      </w:r>
      <w:r w:rsidRPr="00A60234">
        <w:rPr>
          <w:rFonts w:eastAsiaTheme="minorHAnsi"/>
          <w:lang w:eastAsia="en-US"/>
        </w:rPr>
        <w:lastRenderedPageBreak/>
        <w:t xml:space="preserve">достаточные разъяснения, выполняются дополнительные аудиторские процедуры. Среди таких обстоятельств, </w:t>
      </w:r>
      <w:r w:rsidR="005F1871" w:rsidRPr="00A60234">
        <w:rPr>
          <w:rFonts w:eastAsiaTheme="minorHAnsi"/>
          <w:lang w:eastAsia="en-US"/>
        </w:rPr>
        <w:t>могут быть, например</w:t>
      </w:r>
      <w:r w:rsidRPr="00A60234">
        <w:rPr>
          <w:rFonts w:eastAsiaTheme="minorHAnsi"/>
          <w:lang w:eastAsia="en-US"/>
        </w:rPr>
        <w:t>:</w:t>
      </w:r>
    </w:p>
    <w:p w14:paraId="6AE8AA5E" w14:textId="672E749A" w:rsidR="00353E0F" w:rsidRPr="00A60234" w:rsidRDefault="00353E0F" w:rsidP="00A6023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0234">
        <w:rPr>
          <w:rFonts w:eastAsiaTheme="minorHAnsi"/>
          <w:lang w:eastAsia="en-US"/>
        </w:rPr>
        <w:t xml:space="preserve">а) большой объем сомнительных операций, информация о которых направляется в </w:t>
      </w:r>
      <w:r w:rsidR="005F1871" w:rsidRPr="00A60234">
        <w:rPr>
          <w:rFonts w:eastAsiaTheme="minorHAnsi"/>
          <w:lang w:eastAsia="en-US"/>
        </w:rPr>
        <w:t>Росфинмониторинг</w:t>
      </w:r>
      <w:r w:rsidRPr="00A60234">
        <w:rPr>
          <w:rFonts w:eastAsiaTheme="minorHAnsi"/>
          <w:lang w:eastAsia="en-US"/>
        </w:rPr>
        <w:t>;</w:t>
      </w:r>
    </w:p>
    <w:p w14:paraId="7ADCD679" w14:textId="77777777" w:rsidR="00353E0F" w:rsidRPr="00A60234" w:rsidRDefault="00353E0F" w:rsidP="00A6023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0234">
        <w:rPr>
          <w:rFonts w:eastAsiaTheme="minorHAnsi"/>
          <w:lang w:eastAsia="en-US"/>
        </w:rPr>
        <w:t>б) большое количество регулярно закрывающихся счетов юридических лиц;</w:t>
      </w:r>
    </w:p>
    <w:p w14:paraId="051CE9C1" w14:textId="7D14AB59" w:rsidR="00353E0F" w:rsidRPr="00A60234" w:rsidRDefault="00353E0F" w:rsidP="00A6023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0234">
        <w:rPr>
          <w:rFonts w:eastAsiaTheme="minorHAnsi"/>
          <w:lang w:eastAsia="en-US"/>
        </w:rPr>
        <w:t>в) значительные по размеру односторонние прибыльные/убыточные операции, например, с производными финансовыми инструментами, ценными бумагами с одним контрагентом (с неизвестным контрагентом; с контрагентом, зарегистрированным в иностранной юрисдикции, предоставляющей низкий уровень налогообло</w:t>
      </w:r>
      <w:r w:rsidR="005F1871" w:rsidRPr="00A60234">
        <w:rPr>
          <w:rFonts w:eastAsiaTheme="minorHAnsi"/>
          <w:lang w:eastAsia="en-US"/>
        </w:rPr>
        <w:t>жения ("налоговое убежище")</w:t>
      </w:r>
      <w:r w:rsidRPr="00A60234">
        <w:rPr>
          <w:rFonts w:eastAsiaTheme="minorHAnsi"/>
          <w:lang w:eastAsia="en-US"/>
        </w:rPr>
        <w:t>).</w:t>
      </w:r>
    </w:p>
    <w:p w14:paraId="13189D85" w14:textId="77777777" w:rsidR="00353E0F" w:rsidRPr="00A60234" w:rsidRDefault="00353E0F" w:rsidP="00A60234">
      <w:pPr>
        <w:ind w:firstLine="11"/>
        <w:jc w:val="both"/>
      </w:pPr>
    </w:p>
    <w:p w14:paraId="60869020" w14:textId="4B6C4179" w:rsidR="00AA3D38" w:rsidRPr="00A60234" w:rsidRDefault="00AA3D38" w:rsidP="00A60234">
      <w:pPr>
        <w:ind w:firstLine="720"/>
        <w:jc w:val="both"/>
      </w:pPr>
      <w:r w:rsidRPr="00A60234">
        <w:t xml:space="preserve">При проведении аудиторской проверки аудиторам необходимо </w:t>
      </w:r>
      <w:r w:rsidR="00D47734" w:rsidRPr="00A60234">
        <w:t>дополнительно проверить выполняе</w:t>
      </w:r>
      <w:r w:rsidRPr="00A60234">
        <w:t xml:space="preserve">т ли </w:t>
      </w:r>
      <w:r w:rsidR="00A348A3" w:rsidRPr="00A60234">
        <w:t>банк или кредитная организация</w:t>
      </w:r>
      <w:r w:rsidRPr="00A60234">
        <w:t xml:space="preserve"> </w:t>
      </w:r>
      <w:r w:rsidR="00D47734" w:rsidRPr="00A60234">
        <w:t>следующие требования</w:t>
      </w:r>
      <w:r w:rsidR="005B03CB" w:rsidRPr="00A60234">
        <w:t xml:space="preserve"> в области ПОД/ФТ</w:t>
      </w:r>
      <w:r w:rsidR="000B0AC8" w:rsidRPr="00A60234">
        <w:t>/ФРОМУ</w:t>
      </w:r>
      <w:r w:rsidRPr="00A60234">
        <w:t xml:space="preserve">: </w:t>
      </w:r>
    </w:p>
    <w:p w14:paraId="255415FC" w14:textId="37428CDF" w:rsidR="00AA3D38" w:rsidRPr="00A60234" w:rsidRDefault="00D47734" w:rsidP="00A60234">
      <w:pPr>
        <w:pStyle w:val="a3"/>
        <w:numPr>
          <w:ilvl w:val="0"/>
          <w:numId w:val="15"/>
        </w:numPr>
        <w:jc w:val="both"/>
      </w:pPr>
      <w:r w:rsidRPr="00A60234">
        <w:t xml:space="preserve">в </w:t>
      </w:r>
      <w:r w:rsidR="00A348A3" w:rsidRPr="00A60234">
        <w:t xml:space="preserve">банке или кредитной организации </w:t>
      </w:r>
      <w:r w:rsidRPr="00A60234">
        <w:t>разработаны и внедрены</w:t>
      </w:r>
      <w:r w:rsidR="00A348A3" w:rsidRPr="00A60234">
        <w:t xml:space="preserve"> правила</w:t>
      </w:r>
      <w:r w:rsidR="00AA3D38" w:rsidRPr="00A60234">
        <w:t xml:space="preserve"> внутреннего контроля</w:t>
      </w:r>
      <w:r w:rsidRPr="00A60234">
        <w:t xml:space="preserve"> по ПОД/ФТ</w:t>
      </w:r>
      <w:r w:rsidR="000B0AC8" w:rsidRPr="00A60234">
        <w:t>/ФРОМУ</w:t>
      </w:r>
      <w:r w:rsidR="00AA3D38" w:rsidRPr="00A60234">
        <w:t xml:space="preserve">; </w:t>
      </w:r>
    </w:p>
    <w:p w14:paraId="683DFA97" w14:textId="6C033BA6" w:rsidR="00B91CF5" w:rsidRPr="00A60234" w:rsidRDefault="00A348A3" w:rsidP="00A60234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Style w:val="A20"/>
          <w:rFonts w:cs="Times New Roman"/>
          <w:sz w:val="24"/>
          <w:szCs w:val="24"/>
        </w:rPr>
      </w:pPr>
      <w:r w:rsidRPr="00A60234">
        <w:t xml:space="preserve">правила внутреннего контроля </w:t>
      </w:r>
      <w:r w:rsidR="004560AF" w:rsidRPr="00A60234">
        <w:t>соответствуют действующим в данный момен</w:t>
      </w:r>
      <w:r w:rsidR="00B91CF5" w:rsidRPr="00A60234">
        <w:t>т регуляторным требованиям Банка России (</w:t>
      </w:r>
      <w:r w:rsidR="00B91CF5" w:rsidRPr="00A60234">
        <w:rPr>
          <w:rStyle w:val="A20"/>
          <w:rFonts w:cs="Times New Roman"/>
          <w:sz w:val="24"/>
          <w:szCs w:val="24"/>
        </w:rPr>
        <w:t xml:space="preserve">Положению Банка России от 2 марта 2012 г. № 375-П «О требованиях к правилам внутреннего контроля кредитной организации в целях противодействия легализации (отмыванию) доходов, полученных преступным путем, и финансированию терроризма» (с последующими изменениями и дополнениями)); </w:t>
      </w:r>
    </w:p>
    <w:p w14:paraId="25DC2FC7" w14:textId="38DA9650" w:rsidR="00AA3D38" w:rsidRPr="00A60234" w:rsidRDefault="00AA3D38" w:rsidP="00A60234">
      <w:pPr>
        <w:pStyle w:val="a3"/>
        <w:numPr>
          <w:ilvl w:val="0"/>
          <w:numId w:val="15"/>
        </w:numPr>
        <w:jc w:val="both"/>
      </w:pPr>
      <w:r w:rsidRPr="00A60234">
        <w:t>назнач</w:t>
      </w:r>
      <w:r w:rsidR="00D47734" w:rsidRPr="00A60234">
        <w:t xml:space="preserve">ено </w:t>
      </w:r>
      <w:r w:rsidRPr="00A60234">
        <w:t>специальное должностное лицо</w:t>
      </w:r>
      <w:r w:rsidR="00A348A3" w:rsidRPr="00A60234">
        <w:t xml:space="preserve"> (СДЛ)</w:t>
      </w:r>
      <w:r w:rsidRPr="00A60234">
        <w:t xml:space="preserve">, ответственное за реализацию правил внутреннего контроля; </w:t>
      </w:r>
      <w:r w:rsidR="00A348A3" w:rsidRPr="00A60234">
        <w:t xml:space="preserve">СДЛ соответствует квалификационным </w:t>
      </w:r>
      <w:r w:rsidR="00B91CF5" w:rsidRPr="00A60234">
        <w:t>требованиям, установленным Банком России</w:t>
      </w:r>
      <w:r w:rsidR="00A348A3" w:rsidRPr="00A60234">
        <w:t>;</w:t>
      </w:r>
    </w:p>
    <w:p w14:paraId="7C71681D" w14:textId="2A24D8CF" w:rsidR="00A348A3" w:rsidRPr="00A60234" w:rsidRDefault="00A348A3" w:rsidP="00A60234">
      <w:pPr>
        <w:pStyle w:val="a3"/>
        <w:numPr>
          <w:ilvl w:val="0"/>
          <w:numId w:val="15"/>
        </w:numPr>
        <w:jc w:val="both"/>
      </w:pPr>
      <w:r w:rsidRPr="00A60234">
        <w:t>внутренними документами кредитной организации, установлены права и обязанности СДЛ;</w:t>
      </w:r>
    </w:p>
    <w:p w14:paraId="0B21A6DC" w14:textId="77777777" w:rsidR="00AA3D38" w:rsidRPr="00A60234" w:rsidRDefault="00AA3D38" w:rsidP="00A60234">
      <w:pPr>
        <w:pStyle w:val="a3"/>
        <w:numPr>
          <w:ilvl w:val="0"/>
          <w:numId w:val="15"/>
        </w:numPr>
        <w:jc w:val="both"/>
      </w:pPr>
      <w:r w:rsidRPr="00A60234">
        <w:t>проводит</w:t>
      </w:r>
      <w:r w:rsidR="00D47734" w:rsidRPr="00A60234">
        <w:t xml:space="preserve">ся </w:t>
      </w:r>
      <w:r w:rsidRPr="00A60234">
        <w:t>обучение сотрудников в целях ПОД/ФТ</w:t>
      </w:r>
      <w:r w:rsidR="000B0AC8" w:rsidRPr="00A60234">
        <w:t>/ФРОМУ</w:t>
      </w:r>
      <w:r w:rsidRPr="00A60234">
        <w:t xml:space="preserve"> (вводный, дополнительный, целевой инструктаж и повышение уровня знаний в сфере ПОД/ФТ</w:t>
      </w:r>
      <w:r w:rsidR="000B0AC8" w:rsidRPr="00A60234">
        <w:t>/ФРОМУ</w:t>
      </w:r>
      <w:r w:rsidRPr="00A60234">
        <w:t xml:space="preserve">); </w:t>
      </w:r>
    </w:p>
    <w:p w14:paraId="250AF6ED" w14:textId="77777777" w:rsidR="00AA3D38" w:rsidRPr="00A60234" w:rsidRDefault="00D47734" w:rsidP="00A60234">
      <w:pPr>
        <w:pStyle w:val="a3"/>
        <w:numPr>
          <w:ilvl w:val="0"/>
          <w:numId w:val="15"/>
        </w:numPr>
        <w:jc w:val="both"/>
      </w:pPr>
      <w:r w:rsidRPr="00A60234">
        <w:t xml:space="preserve">открыт и </w:t>
      </w:r>
      <w:r w:rsidR="00AA3D38" w:rsidRPr="00A60234">
        <w:t>используется функционал Личного кабинета, в том числе для просмотра/скачивания актуальн</w:t>
      </w:r>
      <w:r w:rsidRPr="00A60234">
        <w:t>ых Перечней</w:t>
      </w:r>
      <w:r w:rsidR="00AA3D38" w:rsidRPr="00A60234">
        <w:t xml:space="preserve">; </w:t>
      </w:r>
    </w:p>
    <w:p w14:paraId="30AFB3FF" w14:textId="47327811" w:rsidR="00AA3D38" w:rsidRPr="00A60234" w:rsidRDefault="004115A2" w:rsidP="00A60234">
      <w:pPr>
        <w:pStyle w:val="a3"/>
        <w:numPr>
          <w:ilvl w:val="0"/>
          <w:numId w:val="15"/>
        </w:numPr>
        <w:jc w:val="both"/>
      </w:pPr>
      <w:r w:rsidRPr="00A60234">
        <w:t>внедрены и</w:t>
      </w:r>
      <w:r w:rsidR="004560AF" w:rsidRPr="00A60234">
        <w:t xml:space="preserve"> реализуются надлежащим образом </w:t>
      </w:r>
      <w:r w:rsidR="00D47734" w:rsidRPr="00A60234">
        <w:t>процедуры по изучению и</w:t>
      </w:r>
      <w:r w:rsidR="00AA3D38" w:rsidRPr="00A60234">
        <w:t xml:space="preserve"> идентификаци</w:t>
      </w:r>
      <w:r w:rsidR="00D47734" w:rsidRPr="00A60234">
        <w:t>и</w:t>
      </w:r>
      <w:r w:rsidR="00AA3D38" w:rsidRPr="00A60234">
        <w:t xml:space="preserve"> клиентов</w:t>
      </w:r>
      <w:r w:rsidR="00D47734" w:rsidRPr="00A60234">
        <w:t xml:space="preserve">, </w:t>
      </w:r>
      <w:r w:rsidR="00AA3D38" w:rsidRPr="00A60234">
        <w:t>их представителей, выгодоприобрета</w:t>
      </w:r>
      <w:r w:rsidR="00D47734" w:rsidRPr="00A60234">
        <w:t>телей, бенефициарных владельцев</w:t>
      </w:r>
      <w:r w:rsidR="00AA3D38" w:rsidRPr="00A60234">
        <w:t xml:space="preserve">; </w:t>
      </w:r>
    </w:p>
    <w:p w14:paraId="76350355" w14:textId="6DEA617B" w:rsidR="00783B51" w:rsidRPr="00A60234" w:rsidRDefault="00FA4129" w:rsidP="00A60234">
      <w:pPr>
        <w:pStyle w:val="a3"/>
        <w:numPr>
          <w:ilvl w:val="0"/>
          <w:numId w:val="15"/>
        </w:numPr>
        <w:jc w:val="both"/>
      </w:pPr>
      <w:r w:rsidRPr="00A60234">
        <w:t>соответствие</w:t>
      </w:r>
      <w:r w:rsidR="00783B51" w:rsidRPr="00A60234">
        <w:t xml:space="preserve"> Программы идентификации требованиям </w:t>
      </w:r>
      <w:hyperlink r:id="rId15">
        <w:r w:rsidR="00783B51" w:rsidRPr="00A60234">
          <w:t>Положения</w:t>
        </w:r>
      </w:hyperlink>
      <w:r w:rsidR="00783B51" w:rsidRPr="00A60234">
        <w:t xml:space="preserve"> Банка России от 19 авг</w:t>
      </w:r>
      <w:r w:rsidR="00B91CF5" w:rsidRPr="00A60234">
        <w:t>уста 2004 года №</w:t>
      </w:r>
      <w:r w:rsidR="00783B51" w:rsidRPr="00A60234">
        <w:t xml:space="preserve"> 262-П "Об идентификации кредитными организациями клиентов и выгодоприобретателей в целях противодействия легализации (отмыванию) доходов, полученных преступным путе</w:t>
      </w:r>
      <w:r w:rsidR="00B91CF5" w:rsidRPr="00A60234">
        <w:t>м, и финансированию терроризма";</w:t>
      </w:r>
    </w:p>
    <w:p w14:paraId="5F990591" w14:textId="105D8FCA" w:rsidR="000B0AC8" w:rsidRPr="00A60234" w:rsidRDefault="00AA3D38" w:rsidP="00A60234">
      <w:pPr>
        <w:pStyle w:val="a3"/>
        <w:numPr>
          <w:ilvl w:val="0"/>
          <w:numId w:val="15"/>
        </w:numPr>
        <w:jc w:val="both"/>
      </w:pPr>
      <w:r w:rsidRPr="00A60234">
        <w:t xml:space="preserve">с учетом просмотра/скачивания Перечней проводятся </w:t>
      </w:r>
      <w:r w:rsidR="004115A2" w:rsidRPr="00A60234">
        <w:t xml:space="preserve">ли </w:t>
      </w:r>
      <w:r w:rsidRPr="00A60234">
        <w:t>проверки наличия среди своих клиентов организаций и физических лиц, в отношении которых применены либо должны применяться меры по замораживанию (блокированию) денежных средств или иного имущества, и представляются ли сведения о так</w:t>
      </w:r>
      <w:r w:rsidR="000B0AC8" w:rsidRPr="00A60234">
        <w:t>их проверках в Росфинмониторинг;</w:t>
      </w:r>
    </w:p>
    <w:p w14:paraId="0C7773E8" w14:textId="77777777" w:rsidR="00AA3D38" w:rsidRPr="00A60234" w:rsidRDefault="00AA3D38" w:rsidP="00A60234">
      <w:pPr>
        <w:pStyle w:val="a3"/>
        <w:numPr>
          <w:ilvl w:val="0"/>
          <w:numId w:val="15"/>
        </w:numPr>
        <w:jc w:val="both"/>
      </w:pPr>
      <w:r w:rsidRPr="00A60234">
        <w:t>выявляются ли операции, вызывающие подозрение на ОД/ФТ</w:t>
      </w:r>
      <w:r w:rsidR="000B0AC8" w:rsidRPr="00A60234">
        <w:t>/ФРОМУ</w:t>
      </w:r>
      <w:r w:rsidRPr="00A60234">
        <w:t>;</w:t>
      </w:r>
    </w:p>
    <w:p w14:paraId="5DA631CB" w14:textId="720E907E" w:rsidR="00AA3D38" w:rsidRPr="00A60234" w:rsidRDefault="00AA3D38" w:rsidP="00A60234">
      <w:pPr>
        <w:pStyle w:val="a3"/>
        <w:numPr>
          <w:ilvl w:val="0"/>
          <w:numId w:val="15"/>
        </w:numPr>
        <w:jc w:val="both"/>
      </w:pPr>
      <w:r w:rsidRPr="00A60234">
        <w:t xml:space="preserve">проводятся ли </w:t>
      </w:r>
      <w:r w:rsidR="000B0AC8" w:rsidRPr="00A60234">
        <w:t>в</w:t>
      </w:r>
      <w:r w:rsidRPr="00A60234">
        <w:t>нутренние проверки выполнения правил внутреннего контроля и иных требований законодательства о ПОД/ФТ</w:t>
      </w:r>
      <w:r w:rsidR="000B0AC8" w:rsidRPr="00A60234">
        <w:t>/ФРОМУ</w:t>
      </w:r>
      <w:r w:rsidR="00E61AE2" w:rsidRPr="00A60234">
        <w:t>.</w:t>
      </w:r>
    </w:p>
    <w:p w14:paraId="33CA1FB2" w14:textId="3146DE4A" w:rsidR="00E61AE2" w:rsidRPr="00A60234" w:rsidRDefault="00E61AE2" w:rsidP="00A60234">
      <w:pPr>
        <w:jc w:val="both"/>
      </w:pPr>
    </w:p>
    <w:p w14:paraId="48BBFA39" w14:textId="77777777" w:rsidR="00B91CF5" w:rsidRPr="00A60234" w:rsidRDefault="00B91CF5" w:rsidP="00A6023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A60234">
        <w:rPr>
          <w:rFonts w:eastAsiaTheme="minorHAnsi"/>
          <w:lang w:eastAsia="en-US"/>
        </w:rPr>
        <w:lastRenderedPageBreak/>
        <w:t>Для того, чтобы получить понимание аудируемой кредитной организации и ее окружения, включая ее систему внутреннего контроля, аудиторской организации целесообразно выполнить следующие процедуры:</w:t>
      </w:r>
    </w:p>
    <w:p w14:paraId="6E7B3F9C" w14:textId="77777777" w:rsidR="00B91CF5" w:rsidRPr="00A60234" w:rsidRDefault="00B91CF5" w:rsidP="00A602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9443AE3" w14:textId="77777777" w:rsidR="00B91CF5" w:rsidRPr="00A60234" w:rsidRDefault="00B91CF5" w:rsidP="00A602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0234">
        <w:rPr>
          <w:rFonts w:eastAsiaTheme="minorHAnsi"/>
          <w:lang w:eastAsia="en-US"/>
        </w:rPr>
        <w:t>1) получить и проанализировать акты проверок Банка России, налоговых и иных регулирующих, контрольных, надзорных органов, а также выпущенные по результатам проверок предписания;</w:t>
      </w:r>
    </w:p>
    <w:p w14:paraId="1993C9A5" w14:textId="77777777" w:rsidR="00B91CF5" w:rsidRPr="00A60234" w:rsidRDefault="00B91CF5" w:rsidP="00A602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0234">
        <w:rPr>
          <w:rFonts w:eastAsiaTheme="minorHAnsi"/>
          <w:lang w:eastAsia="en-US"/>
        </w:rPr>
        <w:t>2) получить и проанализировать акты проверок службы внутреннего аудита кредитной организации.</w:t>
      </w:r>
    </w:p>
    <w:p w14:paraId="1C4DE982" w14:textId="7403D4C0" w:rsidR="00DC59D2" w:rsidRPr="00A60234" w:rsidRDefault="00DC59D2" w:rsidP="00A60234">
      <w:pPr>
        <w:jc w:val="both"/>
      </w:pPr>
    </w:p>
    <w:p w14:paraId="4BD12085" w14:textId="550EA8EB" w:rsidR="00F74C30" w:rsidRPr="00A60234" w:rsidRDefault="00F74C30" w:rsidP="00A60234">
      <w:pPr>
        <w:pStyle w:val="a4"/>
        <w:ind w:firstLine="11"/>
        <w:jc w:val="both"/>
        <w:rPr>
          <w:sz w:val="24"/>
          <w:szCs w:val="24"/>
        </w:rPr>
      </w:pPr>
    </w:p>
    <w:p w14:paraId="22C7D250" w14:textId="77777777" w:rsidR="0055086F" w:rsidRPr="00A60234" w:rsidRDefault="000B0AC8" w:rsidP="00A60234">
      <w:pPr>
        <w:pStyle w:val="a3"/>
        <w:numPr>
          <w:ilvl w:val="0"/>
          <w:numId w:val="9"/>
        </w:numPr>
        <w:ind w:left="0" w:firstLine="11"/>
        <w:jc w:val="both"/>
        <w:rPr>
          <w:b/>
        </w:rPr>
      </w:pPr>
      <w:r w:rsidRPr="00A60234">
        <w:rPr>
          <w:b/>
        </w:rPr>
        <w:t>Уведомление Росфинмониторинга</w:t>
      </w:r>
    </w:p>
    <w:p w14:paraId="66DC0E3E" w14:textId="77777777" w:rsidR="000B0AC8" w:rsidRPr="00A60234" w:rsidRDefault="000B0AC8" w:rsidP="00A60234">
      <w:pPr>
        <w:ind w:firstLine="11"/>
        <w:jc w:val="both"/>
      </w:pPr>
    </w:p>
    <w:p w14:paraId="231B4FCB" w14:textId="6D51210E" w:rsidR="000B0AC8" w:rsidRPr="00A60234" w:rsidRDefault="000B0AC8" w:rsidP="00A60234">
      <w:pPr>
        <w:ind w:firstLine="11"/>
        <w:jc w:val="both"/>
      </w:pPr>
      <w:r w:rsidRPr="00A60234">
        <w:t xml:space="preserve">Аудиторским организациям, индивидуальным аудиторам при оказании аудиторских услуг </w:t>
      </w:r>
      <w:r w:rsidR="00B91CF5" w:rsidRPr="00A60234">
        <w:t>банкам и кредитным</w:t>
      </w:r>
      <w:r w:rsidR="00FA4129" w:rsidRPr="00A60234">
        <w:t xml:space="preserve"> организаций</w:t>
      </w:r>
      <w:r w:rsidRPr="00A60234">
        <w:t xml:space="preserve"> при возникновении любых оснований полагать, что сделки или финансовые операции аудируемого лица</w:t>
      </w:r>
      <w:r w:rsidR="004560AF" w:rsidRPr="00A60234">
        <w:t xml:space="preserve"> или </w:t>
      </w:r>
      <w:r w:rsidR="00FA4129" w:rsidRPr="00A60234">
        <w:t xml:space="preserve">его </w:t>
      </w:r>
      <w:r w:rsidR="004560AF" w:rsidRPr="00A60234">
        <w:t xml:space="preserve">клиентов </w:t>
      </w:r>
      <w:r w:rsidRPr="00A60234">
        <w:t xml:space="preserve">могли или могут быть осуществлены в целях </w:t>
      </w:r>
      <w:r w:rsidRPr="00A60234">
        <w:rPr>
          <w:rFonts w:eastAsia="Calibri"/>
        </w:rPr>
        <w:t xml:space="preserve">ОД/ФТ/ФРОМУ, </w:t>
      </w:r>
      <w:r w:rsidRPr="00A60234">
        <w:t>в соответствии с п. 2.1 ст. 7.1 Закона 115</w:t>
      </w:r>
      <w:r w:rsidRPr="00A60234">
        <w:noBreakHyphen/>
        <w:t>ФЗ  и п. 3.2 ч.2 ст. 13 Федерального закона от 30 декабря 2008 № 307-ФЗ «Об аудиторской деятельности» необходимо уведомить об этом Росфинмониторинг.</w:t>
      </w:r>
    </w:p>
    <w:bookmarkEnd w:id="0"/>
    <w:p w14:paraId="69D0EE78" w14:textId="77777777" w:rsidR="000B0AC8" w:rsidRPr="00A60234" w:rsidRDefault="000B0AC8" w:rsidP="00A60234">
      <w:pPr>
        <w:ind w:firstLine="11"/>
        <w:jc w:val="both"/>
      </w:pPr>
    </w:p>
    <w:sectPr w:rsidR="000B0AC8" w:rsidRPr="00A602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99002" w14:textId="77777777" w:rsidR="002B2BAC" w:rsidRDefault="002B2BAC" w:rsidP="000B0AC8">
      <w:r>
        <w:separator/>
      </w:r>
    </w:p>
  </w:endnote>
  <w:endnote w:type="continuationSeparator" w:id="0">
    <w:p w14:paraId="7228A14B" w14:textId="77777777" w:rsidR="002B2BAC" w:rsidRDefault="002B2BAC" w:rsidP="000B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9A60F" w14:textId="77777777" w:rsidR="002B2BAC" w:rsidRDefault="002B2BAC" w:rsidP="000B0AC8">
      <w:r>
        <w:separator/>
      </w:r>
    </w:p>
  </w:footnote>
  <w:footnote w:type="continuationSeparator" w:id="0">
    <w:p w14:paraId="08E527FE" w14:textId="77777777" w:rsidR="002B2BAC" w:rsidRDefault="002B2BAC" w:rsidP="000B0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639B"/>
    <w:multiLevelType w:val="hybridMultilevel"/>
    <w:tmpl w:val="F30C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CE1"/>
    <w:multiLevelType w:val="hybridMultilevel"/>
    <w:tmpl w:val="DC86B020"/>
    <w:lvl w:ilvl="0" w:tplc="1BDC456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3E141F"/>
    <w:multiLevelType w:val="hybridMultilevel"/>
    <w:tmpl w:val="52760F1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C054140"/>
    <w:multiLevelType w:val="hybridMultilevel"/>
    <w:tmpl w:val="78560B0A"/>
    <w:lvl w:ilvl="0" w:tplc="B12C5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024F76"/>
    <w:multiLevelType w:val="hybridMultilevel"/>
    <w:tmpl w:val="6B50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63F2E"/>
    <w:multiLevelType w:val="hybridMultilevel"/>
    <w:tmpl w:val="624A0CE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E75AA0"/>
    <w:multiLevelType w:val="hybridMultilevel"/>
    <w:tmpl w:val="A2205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D633B8"/>
    <w:multiLevelType w:val="hybridMultilevel"/>
    <w:tmpl w:val="C432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F4976"/>
    <w:multiLevelType w:val="hybridMultilevel"/>
    <w:tmpl w:val="F57C17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FA6E40"/>
    <w:multiLevelType w:val="hybridMultilevel"/>
    <w:tmpl w:val="D904E60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9715C12"/>
    <w:multiLevelType w:val="multilevel"/>
    <w:tmpl w:val="C618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7A2BA9"/>
    <w:multiLevelType w:val="hybridMultilevel"/>
    <w:tmpl w:val="D3C84542"/>
    <w:lvl w:ilvl="0" w:tplc="41A82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2A78C2"/>
    <w:multiLevelType w:val="hybridMultilevel"/>
    <w:tmpl w:val="F37EE8C4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6C9B3F2C"/>
    <w:multiLevelType w:val="hybridMultilevel"/>
    <w:tmpl w:val="AB5A0AB6"/>
    <w:lvl w:ilvl="0" w:tplc="6308944C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8C70E1"/>
    <w:multiLevelType w:val="hybridMultilevel"/>
    <w:tmpl w:val="52B2F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70828948">
    <w:abstractNumId w:val="11"/>
  </w:num>
  <w:num w:numId="2" w16cid:durableId="980426234">
    <w:abstractNumId w:val="12"/>
  </w:num>
  <w:num w:numId="3" w16cid:durableId="928192274">
    <w:abstractNumId w:val="3"/>
  </w:num>
  <w:num w:numId="4" w16cid:durableId="1221751836">
    <w:abstractNumId w:val="1"/>
  </w:num>
  <w:num w:numId="5" w16cid:durableId="318731702">
    <w:abstractNumId w:val="2"/>
  </w:num>
  <w:num w:numId="6" w16cid:durableId="1985158951">
    <w:abstractNumId w:val="6"/>
  </w:num>
  <w:num w:numId="7" w16cid:durableId="1788573539">
    <w:abstractNumId w:val="5"/>
  </w:num>
  <w:num w:numId="8" w16cid:durableId="97679223">
    <w:abstractNumId w:val="8"/>
  </w:num>
  <w:num w:numId="9" w16cid:durableId="1460031140">
    <w:abstractNumId w:val="13"/>
  </w:num>
  <w:num w:numId="10" w16cid:durableId="1219130315">
    <w:abstractNumId w:val="10"/>
  </w:num>
  <w:num w:numId="11" w16cid:durableId="1712996867">
    <w:abstractNumId w:val="9"/>
  </w:num>
  <w:num w:numId="12" w16cid:durableId="869340182">
    <w:abstractNumId w:val="14"/>
  </w:num>
  <w:num w:numId="13" w16cid:durableId="1806850016">
    <w:abstractNumId w:val="0"/>
  </w:num>
  <w:num w:numId="14" w16cid:durableId="1594361569">
    <w:abstractNumId w:val="4"/>
  </w:num>
  <w:num w:numId="15" w16cid:durableId="21426536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BB4"/>
    <w:rsid w:val="00007941"/>
    <w:rsid w:val="000142B4"/>
    <w:rsid w:val="00040E10"/>
    <w:rsid w:val="00077931"/>
    <w:rsid w:val="000A1C85"/>
    <w:rsid w:val="000B0AC8"/>
    <w:rsid w:val="000E6DB0"/>
    <w:rsid w:val="00103357"/>
    <w:rsid w:val="001966C1"/>
    <w:rsid w:val="001A1BB4"/>
    <w:rsid w:val="001D1717"/>
    <w:rsid w:val="0022187B"/>
    <w:rsid w:val="00250010"/>
    <w:rsid w:val="00275734"/>
    <w:rsid w:val="002B2BAC"/>
    <w:rsid w:val="002E238A"/>
    <w:rsid w:val="003522BB"/>
    <w:rsid w:val="00353E0F"/>
    <w:rsid w:val="004115A2"/>
    <w:rsid w:val="00425D20"/>
    <w:rsid w:val="00450BE9"/>
    <w:rsid w:val="004560AF"/>
    <w:rsid w:val="00460027"/>
    <w:rsid w:val="004C12C2"/>
    <w:rsid w:val="004C5684"/>
    <w:rsid w:val="004D22E8"/>
    <w:rsid w:val="0055086F"/>
    <w:rsid w:val="0055783B"/>
    <w:rsid w:val="00564D04"/>
    <w:rsid w:val="00582247"/>
    <w:rsid w:val="005B03CB"/>
    <w:rsid w:val="005F1871"/>
    <w:rsid w:val="0062280B"/>
    <w:rsid w:val="00651130"/>
    <w:rsid w:val="006A2AB6"/>
    <w:rsid w:val="00741A23"/>
    <w:rsid w:val="00742CB1"/>
    <w:rsid w:val="00766604"/>
    <w:rsid w:val="00773EC3"/>
    <w:rsid w:val="00783B51"/>
    <w:rsid w:val="00797C38"/>
    <w:rsid w:val="007D1551"/>
    <w:rsid w:val="007E7FBF"/>
    <w:rsid w:val="0080561F"/>
    <w:rsid w:val="008C1CFB"/>
    <w:rsid w:val="0094387F"/>
    <w:rsid w:val="00980493"/>
    <w:rsid w:val="009C3A8E"/>
    <w:rsid w:val="00A348A3"/>
    <w:rsid w:val="00A60234"/>
    <w:rsid w:val="00A8044B"/>
    <w:rsid w:val="00AA3D38"/>
    <w:rsid w:val="00AB603B"/>
    <w:rsid w:val="00AC75B2"/>
    <w:rsid w:val="00B91CF5"/>
    <w:rsid w:val="00BB1604"/>
    <w:rsid w:val="00BB59FD"/>
    <w:rsid w:val="00BC7006"/>
    <w:rsid w:val="00C10F61"/>
    <w:rsid w:val="00C80FCB"/>
    <w:rsid w:val="00CE58B0"/>
    <w:rsid w:val="00D47734"/>
    <w:rsid w:val="00D60075"/>
    <w:rsid w:val="00DB3CBC"/>
    <w:rsid w:val="00DC0FAD"/>
    <w:rsid w:val="00DC5490"/>
    <w:rsid w:val="00DC59D2"/>
    <w:rsid w:val="00DD2225"/>
    <w:rsid w:val="00E61AE2"/>
    <w:rsid w:val="00E82A60"/>
    <w:rsid w:val="00E94A66"/>
    <w:rsid w:val="00ED6992"/>
    <w:rsid w:val="00EF6A84"/>
    <w:rsid w:val="00F317F4"/>
    <w:rsid w:val="00F74C30"/>
    <w:rsid w:val="00FA4129"/>
    <w:rsid w:val="00FB231C"/>
    <w:rsid w:val="00FC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2E87"/>
  <w15:chartTrackingRefBased/>
  <w15:docId w15:val="{3356708B-D84B-4EB0-8076-2E419E56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BB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A1BB4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1A1BB4"/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unhideWhenUsed/>
    <w:rsid w:val="00DB3CBC"/>
    <w:rPr>
      <w:color w:val="00A3E0" w:themeColor="hyperlink"/>
      <w:u w:val="single"/>
    </w:rPr>
  </w:style>
  <w:style w:type="paragraph" w:customStyle="1" w:styleId="ConsPlusNormal">
    <w:name w:val="ConsPlusNormal"/>
    <w:rsid w:val="00797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0B0AC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B0AC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footnote reference"/>
    <w:basedOn w:val="a0"/>
    <w:uiPriority w:val="99"/>
    <w:semiHidden/>
    <w:unhideWhenUsed/>
    <w:rsid w:val="000B0AC8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CE58B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58B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E58B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58B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58B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msonormalmrcssattrmrcssattr">
    <w:name w:val="msonormal_mr_css_attr_mr_css_attr"/>
    <w:basedOn w:val="a"/>
    <w:rsid w:val="00425D20"/>
    <w:pPr>
      <w:spacing w:before="100" w:beforeAutospacing="1" w:after="100" w:afterAutospacing="1"/>
    </w:pPr>
  </w:style>
  <w:style w:type="character" w:customStyle="1" w:styleId="A20">
    <w:name w:val="A2"/>
    <w:uiPriority w:val="99"/>
    <w:rsid w:val="00DD2225"/>
    <w:rPr>
      <w:rFonts w:cs="Open Sans Light"/>
      <w:color w:val="000000"/>
      <w:sz w:val="22"/>
      <w:szCs w:val="22"/>
    </w:rPr>
  </w:style>
  <w:style w:type="paragraph" w:customStyle="1" w:styleId="ConsPlusNonformat">
    <w:name w:val="ConsPlusNonformat"/>
    <w:rsid w:val="00A348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Normal (Web)"/>
    <w:basedOn w:val="a"/>
    <w:uiPriority w:val="99"/>
    <w:unhideWhenUsed/>
    <w:rsid w:val="00E94A66"/>
    <w:pPr>
      <w:spacing w:before="100" w:beforeAutospacing="1" w:after="100" w:afterAutospacing="1"/>
    </w:pPr>
    <w:rPr>
      <w:lang w:val="en-US" w:eastAsia="en-US"/>
    </w:rPr>
  </w:style>
  <w:style w:type="character" w:customStyle="1" w:styleId="A90">
    <w:name w:val="A9"/>
    <w:uiPriority w:val="99"/>
    <w:rsid w:val="00741A23"/>
    <w:rPr>
      <w:rFonts w:cs="Open Sans Light"/>
      <w:color w:val="000000"/>
      <w:sz w:val="12"/>
      <w:szCs w:val="12"/>
    </w:rPr>
  </w:style>
  <w:style w:type="character" w:customStyle="1" w:styleId="A80">
    <w:name w:val="A8"/>
    <w:uiPriority w:val="99"/>
    <w:rsid w:val="0080561F"/>
    <w:rPr>
      <w:rFonts w:cs="Open Sans Ligh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7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8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F487C66319238D1C9370CFC257973A34D1CC30507C4527A22BAA203076CF7BFC36F4151DA7B8BFEE3F6046BFMEm5E" TargetMode="External"/><Relationship Id="rId13" Type="http://schemas.openxmlformats.org/officeDocument/2006/relationships/hyperlink" Target="consultantplus://offline/ref=9FF487C66319238D1C9370CFC257973A34D3C13C507A4527A22BAA203076CF7BEE36AC191CA2A1B8E02A3617F9B3AD27DD11C698235FFCDDM4m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F487C66319238D1C9370CFC257973A33D7CE38557E4527A22BAA203076CF7BEE36AC191CA2A3BCE02A3617F9B3AD27DD11C698235FFCDDM4mBE" TargetMode="External"/><Relationship Id="rId12" Type="http://schemas.openxmlformats.org/officeDocument/2006/relationships/hyperlink" Target="consultantplus://offline/ref=9FF487C66319238D1C9370CFC257973A31D7CB3F547B4527A22BAA203076CF7BEE36AC191CA3A6BEEF2A3617F9B3AD27DD11C698235FFCDDM4m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F487C66319238D1C9370CFC257973A33D7CE38557E4527A22BAA203076CF7BEE36AC1B1AABADEBB965374BBCE2BE26DF11C49E3FM5mE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8E34CA859A2697AC276E68DC351C1D2604C78AE7FA63A587366F3F33612408F0DCE6BF6B78873CD12F090C0EClD1BE" TargetMode="External"/><Relationship Id="rId10" Type="http://schemas.openxmlformats.org/officeDocument/2006/relationships/hyperlink" Target="consultantplus://offline/ref=9FF487C66319238D1C9370CFC257973A33D7CE38557E4527A22BAA203076CF7BEE36AC1A14A4ADEBB965374BBCE2BE26DF11C49E3FM5m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F487C66319238D1C9370CFC257973A34D3CA3C56784527A22BAA203076CF7BEE36AC191CA3A7BAE82A3617F9B3AD27DD11C698235FFCDDM4mBE" TargetMode="External"/><Relationship Id="rId14" Type="http://schemas.openxmlformats.org/officeDocument/2006/relationships/hyperlink" Target="consultantplus://offline/ref=9FF487C66319238D1C9370CFC257973A33D7CE38557E4527A22BAA203076CF7BEE36AC191CA2AFBBE02A3617F9B3AD27DD11C698235FFCDDM4mBE" TargetMode="External"/></Relationships>
</file>

<file path=word/theme/theme1.xml><?xml version="1.0" encoding="utf-8"?>
<a:theme xmlns:a="http://schemas.openxmlformats.org/drawingml/2006/main" name="Office Theme">
  <a:themeElements>
    <a:clrScheme name="Deloitte2020">
      <a:dk1>
        <a:sysClr val="windowText" lastClr="000000"/>
      </a:dk1>
      <a:lt1>
        <a:sysClr val="window" lastClr="FFFFFF"/>
      </a:lt1>
      <a:dk2>
        <a:srgbClr val="D0D0CE"/>
      </a:dk2>
      <a:lt2>
        <a:srgbClr val="53565A"/>
      </a:lt2>
      <a:accent1>
        <a:srgbClr val="86BC25"/>
      </a:accent1>
      <a:accent2>
        <a:srgbClr val="43B02A"/>
      </a:accent2>
      <a:accent3>
        <a:srgbClr val="26890D"/>
      </a:accent3>
      <a:accent4>
        <a:srgbClr val="046A38"/>
      </a:accent4>
      <a:accent5>
        <a:srgbClr val="0D8390"/>
      </a:accent5>
      <a:accent6>
        <a:srgbClr val="007CB0"/>
      </a:accent6>
      <a:hlink>
        <a:srgbClr val="00A3E0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3980</Words>
  <Characters>22689</Characters>
  <Application>Microsoft Office Word</Application>
  <DocSecurity>0</DocSecurity>
  <Lines>189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26616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Grodzovskaya, Nadejda</dc:creator>
  <cp:keywords/>
  <dc:description/>
  <cp:lastModifiedBy>Vladimir Butovsky</cp:lastModifiedBy>
  <cp:revision>3</cp:revision>
  <cp:lastPrinted>2023-06-20T14:57:00Z</cp:lastPrinted>
  <dcterms:created xsi:type="dcterms:W3CDTF">2023-06-16T12:06:00Z</dcterms:created>
  <dcterms:modified xsi:type="dcterms:W3CDTF">2023-06-20T14:58:00Z</dcterms:modified>
</cp:coreProperties>
</file>