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73110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 xml:space="preserve">Протокол № </w:t>
      </w:r>
      <w:r w:rsidR="00994087" w:rsidRPr="00873110">
        <w:rPr>
          <w:b/>
          <w:sz w:val="26"/>
          <w:szCs w:val="26"/>
        </w:rPr>
        <w:t>22</w:t>
      </w:r>
      <w:r w:rsidR="007760F1">
        <w:rPr>
          <w:b/>
          <w:sz w:val="26"/>
          <w:szCs w:val="26"/>
        </w:rPr>
        <w:t>9</w:t>
      </w:r>
    </w:p>
    <w:p w:rsidR="00890D7C" w:rsidRPr="00873110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заседания Правления</w:t>
      </w:r>
    </w:p>
    <w:p w:rsidR="00890D7C" w:rsidRPr="00873110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Саморегулируемой организации аудиторов</w:t>
      </w:r>
    </w:p>
    <w:p w:rsidR="00890D7C" w:rsidRPr="00873110" w:rsidRDefault="00890D7C" w:rsidP="00890D7C">
      <w:pPr>
        <w:jc w:val="center"/>
        <w:outlineLvl w:val="0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Некоммерческо</w:t>
      </w:r>
      <w:r w:rsidR="008F0104" w:rsidRPr="00873110">
        <w:rPr>
          <w:b/>
          <w:sz w:val="26"/>
          <w:szCs w:val="26"/>
        </w:rPr>
        <w:t>го</w:t>
      </w:r>
      <w:r w:rsidRPr="00873110">
        <w:rPr>
          <w:b/>
          <w:sz w:val="26"/>
          <w:szCs w:val="26"/>
        </w:rPr>
        <w:t xml:space="preserve"> партнерств</w:t>
      </w:r>
      <w:r w:rsidR="008F0104" w:rsidRPr="00873110">
        <w:rPr>
          <w:b/>
          <w:sz w:val="26"/>
          <w:szCs w:val="26"/>
        </w:rPr>
        <w:t>а</w:t>
      </w:r>
    </w:p>
    <w:p w:rsidR="00441D31" w:rsidRPr="00873110" w:rsidRDefault="00890D7C" w:rsidP="00390658">
      <w:pPr>
        <w:jc w:val="center"/>
        <w:outlineLvl w:val="0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73110" w:rsidRDefault="006A67A0" w:rsidP="008F44A0">
      <w:pPr>
        <w:outlineLvl w:val="0"/>
        <w:rPr>
          <w:b/>
          <w:sz w:val="26"/>
          <w:szCs w:val="26"/>
        </w:rPr>
      </w:pPr>
    </w:p>
    <w:p w:rsidR="002A37D5" w:rsidRPr="00873110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г. Москва </w:t>
      </w:r>
      <w:r w:rsidRPr="00873110">
        <w:rPr>
          <w:sz w:val="26"/>
          <w:szCs w:val="26"/>
        </w:rPr>
        <w:tab/>
      </w:r>
      <w:r w:rsidRPr="00873110">
        <w:rPr>
          <w:sz w:val="26"/>
          <w:szCs w:val="26"/>
        </w:rPr>
        <w:tab/>
      </w:r>
      <w:r w:rsidRPr="00873110">
        <w:rPr>
          <w:sz w:val="26"/>
          <w:szCs w:val="26"/>
        </w:rPr>
        <w:tab/>
        <w:t xml:space="preserve">       </w:t>
      </w:r>
      <w:r w:rsidR="00AD6AF8" w:rsidRPr="00873110">
        <w:rPr>
          <w:sz w:val="26"/>
          <w:szCs w:val="26"/>
        </w:rPr>
        <w:t xml:space="preserve">                      </w:t>
      </w:r>
      <w:r w:rsidR="00AD6AF8" w:rsidRPr="00873110">
        <w:rPr>
          <w:sz w:val="26"/>
          <w:szCs w:val="26"/>
        </w:rPr>
        <w:tab/>
      </w:r>
      <w:r w:rsidR="00AD6AF8" w:rsidRPr="00873110">
        <w:rPr>
          <w:sz w:val="26"/>
          <w:szCs w:val="26"/>
        </w:rPr>
        <w:tab/>
      </w:r>
      <w:r w:rsidR="00AD6AF8" w:rsidRPr="00873110">
        <w:rPr>
          <w:sz w:val="26"/>
          <w:szCs w:val="26"/>
        </w:rPr>
        <w:tab/>
        <w:t xml:space="preserve">    </w:t>
      </w:r>
      <w:r w:rsidRPr="00873110">
        <w:rPr>
          <w:sz w:val="26"/>
          <w:szCs w:val="26"/>
        </w:rPr>
        <w:t xml:space="preserve">  </w:t>
      </w:r>
      <w:r w:rsidR="00BF0A68" w:rsidRPr="00873110">
        <w:rPr>
          <w:sz w:val="26"/>
          <w:szCs w:val="26"/>
        </w:rPr>
        <w:t xml:space="preserve"> </w:t>
      </w:r>
      <w:r w:rsidR="00946195" w:rsidRPr="00873110">
        <w:rPr>
          <w:sz w:val="26"/>
          <w:szCs w:val="26"/>
        </w:rPr>
        <w:t xml:space="preserve"> </w:t>
      </w:r>
      <w:r w:rsidR="00873ACC" w:rsidRPr="00873110">
        <w:rPr>
          <w:sz w:val="26"/>
          <w:szCs w:val="26"/>
          <w:lang w:val="ru-RU"/>
        </w:rPr>
        <w:t xml:space="preserve"> </w:t>
      </w:r>
      <w:r w:rsidR="000961A0" w:rsidRPr="00873110">
        <w:rPr>
          <w:sz w:val="26"/>
          <w:szCs w:val="26"/>
          <w:lang w:val="ru-RU"/>
        </w:rPr>
        <w:t xml:space="preserve"> </w:t>
      </w:r>
      <w:r w:rsidR="007760F1">
        <w:rPr>
          <w:sz w:val="26"/>
          <w:szCs w:val="26"/>
          <w:lang w:val="ru-RU"/>
        </w:rPr>
        <w:t xml:space="preserve">   01 сентября </w:t>
      </w:r>
      <w:r w:rsidR="0037496D" w:rsidRPr="00873110">
        <w:rPr>
          <w:sz w:val="26"/>
          <w:szCs w:val="26"/>
        </w:rPr>
        <w:t>201</w:t>
      </w:r>
      <w:r w:rsidR="007A073A" w:rsidRPr="00873110">
        <w:rPr>
          <w:sz w:val="26"/>
          <w:szCs w:val="26"/>
          <w:lang w:val="ru-RU"/>
        </w:rPr>
        <w:t>6</w:t>
      </w:r>
      <w:r w:rsidRPr="00873110">
        <w:rPr>
          <w:sz w:val="26"/>
          <w:szCs w:val="26"/>
        </w:rPr>
        <w:t xml:space="preserve"> года</w:t>
      </w:r>
    </w:p>
    <w:p w:rsidR="00596ADA" w:rsidRPr="00873110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73110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Голосовали: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73110">
        <w:rPr>
          <w:sz w:val="26"/>
          <w:szCs w:val="26"/>
        </w:rPr>
        <w:t>Члены Правления НП ААС:</w:t>
      </w:r>
    </w:p>
    <w:p w:rsidR="005A15D1" w:rsidRPr="00873110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73110">
        <w:rPr>
          <w:sz w:val="26"/>
          <w:szCs w:val="26"/>
          <w:lang w:val="ru-RU" w:eastAsia="ru-RU"/>
        </w:rPr>
        <w:t>Чая В.Т</w:t>
      </w:r>
      <w:r w:rsidR="00CA2D85" w:rsidRPr="00873110">
        <w:rPr>
          <w:sz w:val="26"/>
          <w:szCs w:val="26"/>
          <w:lang w:val="ru-RU" w:eastAsia="ru-RU"/>
        </w:rPr>
        <w:t xml:space="preserve">., </w:t>
      </w:r>
      <w:r w:rsidR="002121A0" w:rsidRPr="00873110">
        <w:rPr>
          <w:sz w:val="26"/>
          <w:szCs w:val="26"/>
          <w:lang w:val="ru-RU" w:eastAsia="ru-RU"/>
        </w:rPr>
        <w:t xml:space="preserve">Бутовский В.В., </w:t>
      </w:r>
      <w:r w:rsidR="00873110">
        <w:rPr>
          <w:sz w:val="26"/>
          <w:szCs w:val="26"/>
          <w:lang w:val="ru-RU" w:eastAsia="ru-RU"/>
        </w:rPr>
        <w:t xml:space="preserve">Голенко В.С., </w:t>
      </w:r>
      <w:r w:rsidR="00CA2D85" w:rsidRPr="00873110">
        <w:rPr>
          <w:sz w:val="26"/>
          <w:szCs w:val="26"/>
          <w:lang w:val="ru-RU" w:eastAsia="ru-RU"/>
        </w:rPr>
        <w:t xml:space="preserve">Горячева О.В., Жуков С.П., </w:t>
      </w:r>
      <w:r w:rsidR="00775BB6" w:rsidRPr="00873110">
        <w:rPr>
          <w:sz w:val="26"/>
          <w:szCs w:val="26"/>
          <w:lang w:val="ru-RU" w:eastAsia="ru-RU"/>
        </w:rPr>
        <w:t xml:space="preserve">Кобозева Н.В., </w:t>
      </w:r>
      <w:r w:rsidR="005A15D1" w:rsidRPr="00873110">
        <w:rPr>
          <w:sz w:val="26"/>
          <w:szCs w:val="26"/>
          <w:lang w:val="ru-RU" w:eastAsia="ru-RU"/>
        </w:rPr>
        <w:t xml:space="preserve">Кромин А.Ю., </w:t>
      </w:r>
      <w:r w:rsidR="007760F1">
        <w:rPr>
          <w:sz w:val="26"/>
          <w:szCs w:val="26"/>
          <w:lang w:val="ru-RU" w:eastAsia="ru-RU"/>
        </w:rPr>
        <w:t xml:space="preserve">Лимаренко Д.Н., </w:t>
      </w:r>
      <w:r w:rsidR="00873110" w:rsidRPr="00873110">
        <w:rPr>
          <w:sz w:val="26"/>
          <w:szCs w:val="26"/>
          <w:lang w:val="ru-RU" w:eastAsia="ru-RU"/>
        </w:rPr>
        <w:t>Михайлович Т.Н.,</w:t>
      </w:r>
      <w:r w:rsidR="00873110">
        <w:rPr>
          <w:sz w:val="26"/>
          <w:szCs w:val="26"/>
          <w:lang w:val="ru-RU" w:eastAsia="ru-RU"/>
        </w:rPr>
        <w:t xml:space="preserve"> Новиков Д.Б., </w:t>
      </w:r>
      <w:r w:rsidR="004137FF" w:rsidRPr="00873110">
        <w:rPr>
          <w:sz w:val="26"/>
          <w:szCs w:val="26"/>
          <w:lang w:val="ru-RU" w:eastAsia="ru-RU"/>
        </w:rPr>
        <w:t xml:space="preserve">Носова О.А., </w:t>
      </w:r>
      <w:r w:rsidR="007760F1">
        <w:rPr>
          <w:sz w:val="26"/>
          <w:szCs w:val="26"/>
          <w:lang w:val="ru-RU" w:eastAsia="ru-RU"/>
        </w:rPr>
        <w:t xml:space="preserve">Рыбенко Г.А., </w:t>
      </w:r>
      <w:r w:rsidR="002E3518" w:rsidRPr="00873110">
        <w:rPr>
          <w:sz w:val="26"/>
          <w:szCs w:val="26"/>
          <w:lang w:val="ru-RU" w:eastAsia="ru-RU"/>
        </w:rPr>
        <w:t xml:space="preserve">Симакова М.Ю., </w:t>
      </w:r>
      <w:r w:rsidR="00072D6A" w:rsidRPr="00873110">
        <w:rPr>
          <w:sz w:val="26"/>
          <w:szCs w:val="26"/>
          <w:lang w:val="ru-RU" w:eastAsia="ru-RU"/>
        </w:rPr>
        <w:t xml:space="preserve">Старовойтова Е.В., Суйц В.П., </w:t>
      </w:r>
      <w:r w:rsidR="005A15D1" w:rsidRPr="00873110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73110" w:rsidRDefault="00D6511D" w:rsidP="00D6511D">
      <w:pPr>
        <w:jc w:val="both"/>
        <w:rPr>
          <w:bCs/>
          <w:sz w:val="26"/>
          <w:szCs w:val="26"/>
        </w:rPr>
      </w:pPr>
      <w:r w:rsidRPr="00873110">
        <w:rPr>
          <w:bCs/>
          <w:sz w:val="26"/>
          <w:szCs w:val="26"/>
        </w:rPr>
        <w:t>Итого в голосовании на заседании Пра</w:t>
      </w:r>
      <w:r w:rsidR="00832390" w:rsidRPr="00873110">
        <w:rPr>
          <w:bCs/>
          <w:sz w:val="26"/>
          <w:szCs w:val="26"/>
        </w:rPr>
        <w:t>вления НП ААС при</w:t>
      </w:r>
      <w:r w:rsidR="007760F1">
        <w:rPr>
          <w:bCs/>
          <w:sz w:val="26"/>
          <w:szCs w:val="26"/>
        </w:rPr>
        <w:t>няло участие 17</w:t>
      </w:r>
      <w:r w:rsidRPr="00873110">
        <w:rPr>
          <w:bCs/>
          <w:sz w:val="26"/>
          <w:szCs w:val="26"/>
        </w:rPr>
        <w:t xml:space="preserve"> из</w:t>
      </w:r>
      <w:r w:rsidR="007760F1">
        <w:rPr>
          <w:bCs/>
          <w:sz w:val="26"/>
          <w:szCs w:val="26"/>
        </w:rPr>
        <w:t xml:space="preserve"> 29 человек, что составляет 58,6</w:t>
      </w:r>
      <w:r w:rsidRPr="00873110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73110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73110">
        <w:rPr>
          <w:sz w:val="26"/>
          <w:szCs w:val="26"/>
        </w:rPr>
        <w:t>Форма заседания Правления НП ААС – заочная.</w:t>
      </w:r>
    </w:p>
    <w:p w:rsidR="005A15D1" w:rsidRPr="00873110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73110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Документы, </w:t>
      </w:r>
      <w:r w:rsidR="005A15D1" w:rsidRPr="00873110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7760F1">
        <w:rPr>
          <w:sz w:val="26"/>
          <w:szCs w:val="26"/>
        </w:rPr>
        <w:t>01</w:t>
      </w:r>
      <w:r w:rsidR="00A74895" w:rsidRPr="00873110">
        <w:rPr>
          <w:sz w:val="26"/>
          <w:szCs w:val="26"/>
        </w:rPr>
        <w:t xml:space="preserve"> </w:t>
      </w:r>
      <w:r w:rsidR="007760F1">
        <w:rPr>
          <w:sz w:val="26"/>
          <w:szCs w:val="26"/>
        </w:rPr>
        <w:t>сентября</w:t>
      </w:r>
      <w:r w:rsidR="00F24D2D" w:rsidRPr="00873110">
        <w:rPr>
          <w:sz w:val="26"/>
          <w:szCs w:val="26"/>
        </w:rPr>
        <w:t xml:space="preserve"> 2016</w:t>
      </w:r>
      <w:r w:rsidR="005A15D1" w:rsidRPr="00873110">
        <w:rPr>
          <w:sz w:val="26"/>
          <w:szCs w:val="26"/>
        </w:rPr>
        <w:t xml:space="preserve"> года.</w:t>
      </w:r>
    </w:p>
    <w:p w:rsidR="001E2E66" w:rsidRPr="00873110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73110" w:rsidRDefault="00610723" w:rsidP="00610723">
      <w:pPr>
        <w:jc w:val="both"/>
        <w:rPr>
          <w:b/>
          <w:bCs/>
          <w:sz w:val="26"/>
          <w:szCs w:val="26"/>
        </w:rPr>
      </w:pPr>
      <w:r w:rsidRPr="00873110">
        <w:rPr>
          <w:b/>
          <w:bCs/>
          <w:sz w:val="26"/>
          <w:szCs w:val="26"/>
        </w:rPr>
        <w:t>ПОВЕСТКА ДНЯ:</w:t>
      </w:r>
    </w:p>
    <w:p w:rsidR="00653268" w:rsidRPr="00873110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 приеме в члены НП ААС</w:t>
      </w:r>
      <w:r w:rsidR="00653268" w:rsidRPr="00873110">
        <w:rPr>
          <w:sz w:val="26"/>
          <w:szCs w:val="26"/>
        </w:rPr>
        <w:t>.</w:t>
      </w:r>
    </w:p>
    <w:p w:rsidR="009D1AF5" w:rsidRDefault="00775BB6" w:rsidP="00D52154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</w:t>
      </w:r>
      <w:r w:rsidR="00CA2D85" w:rsidRPr="00873110">
        <w:rPr>
          <w:sz w:val="26"/>
          <w:szCs w:val="26"/>
        </w:rPr>
        <w:t xml:space="preserve"> </w:t>
      </w:r>
      <w:r w:rsidR="007760F1">
        <w:rPr>
          <w:sz w:val="26"/>
          <w:szCs w:val="26"/>
        </w:rPr>
        <w:t>восстановлении членства в НП ААС</w:t>
      </w:r>
      <w:r w:rsidRPr="00873110">
        <w:rPr>
          <w:sz w:val="26"/>
          <w:szCs w:val="26"/>
        </w:rPr>
        <w:t>.</w:t>
      </w:r>
    </w:p>
    <w:p w:rsidR="007760F1" w:rsidRPr="00873110" w:rsidRDefault="007760F1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приостановлении членства в НП ААС.</w:t>
      </w:r>
    </w:p>
    <w:p w:rsidR="001F106A" w:rsidRPr="00873110" w:rsidRDefault="001F106A" w:rsidP="00514300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 прекращении членства в НП ААС.</w:t>
      </w:r>
    </w:p>
    <w:p w:rsidR="00C0031D" w:rsidRDefault="00C0031D" w:rsidP="002A3BF5">
      <w:pPr>
        <w:rPr>
          <w:b/>
          <w:sz w:val="26"/>
          <w:szCs w:val="26"/>
        </w:rPr>
      </w:pPr>
    </w:p>
    <w:p w:rsidR="00610723" w:rsidRPr="00873110" w:rsidRDefault="00610723" w:rsidP="002A3BF5">
      <w:pPr>
        <w:rPr>
          <w:sz w:val="26"/>
          <w:szCs w:val="26"/>
        </w:rPr>
      </w:pPr>
      <w:r w:rsidRPr="00873110">
        <w:rPr>
          <w:b/>
          <w:sz w:val="26"/>
          <w:szCs w:val="26"/>
        </w:rPr>
        <w:t xml:space="preserve">Решили: </w:t>
      </w:r>
    </w:p>
    <w:p w:rsidR="00610723" w:rsidRPr="00873110" w:rsidRDefault="00610723" w:rsidP="00610723">
      <w:pPr>
        <w:rPr>
          <w:sz w:val="26"/>
          <w:szCs w:val="26"/>
        </w:rPr>
      </w:pPr>
      <w:r w:rsidRPr="00873110">
        <w:rPr>
          <w:sz w:val="26"/>
          <w:szCs w:val="26"/>
        </w:rPr>
        <w:t>утвердить повестку дня заседания Правления НП ААС.</w:t>
      </w:r>
    </w:p>
    <w:p w:rsidR="00610723" w:rsidRPr="00873110" w:rsidRDefault="00610723" w:rsidP="00610723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Решение принято единогласно.</w:t>
      </w:r>
    </w:p>
    <w:p w:rsidR="00360C7A" w:rsidRPr="00873110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7760F1" w:rsidRPr="003B373E" w:rsidRDefault="007760F1" w:rsidP="007760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B373E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7760F1" w:rsidRPr="003B373E" w:rsidRDefault="007760F1" w:rsidP="007760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B373E">
        <w:rPr>
          <w:b/>
          <w:sz w:val="26"/>
          <w:szCs w:val="26"/>
        </w:rPr>
        <w:t>О приеме в члены НП ААС</w:t>
      </w:r>
    </w:p>
    <w:p w:rsidR="007760F1" w:rsidRPr="003B373E" w:rsidRDefault="007760F1" w:rsidP="007760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760F1" w:rsidRPr="003B373E" w:rsidRDefault="007760F1" w:rsidP="007760F1">
      <w:pPr>
        <w:tabs>
          <w:tab w:val="left" w:pos="709"/>
        </w:tabs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Решили:</w:t>
      </w:r>
    </w:p>
    <w:p w:rsidR="007760F1" w:rsidRPr="004371E9" w:rsidRDefault="007760F1" w:rsidP="007760F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371E9">
        <w:rPr>
          <w:sz w:val="26"/>
          <w:szCs w:val="26"/>
        </w:rPr>
        <w:t>1.1. Принять в члены НП ААС 49 аудитор</w:t>
      </w:r>
      <w:r w:rsidR="004371E9" w:rsidRPr="004371E9">
        <w:rPr>
          <w:sz w:val="26"/>
          <w:szCs w:val="26"/>
        </w:rPr>
        <w:t>ов;</w:t>
      </w:r>
    </w:p>
    <w:p w:rsidR="007760F1" w:rsidRPr="004371E9" w:rsidRDefault="007760F1" w:rsidP="007760F1">
      <w:pPr>
        <w:jc w:val="both"/>
        <w:rPr>
          <w:sz w:val="26"/>
          <w:szCs w:val="26"/>
        </w:rPr>
      </w:pPr>
      <w:r w:rsidRPr="004371E9">
        <w:rPr>
          <w:sz w:val="26"/>
          <w:szCs w:val="26"/>
        </w:rPr>
        <w:t>1.2. Принять в члены НП ААС 4 аудиторские организации</w:t>
      </w:r>
      <w:r w:rsidR="004371E9" w:rsidRPr="004371E9">
        <w:rPr>
          <w:sz w:val="26"/>
          <w:szCs w:val="26"/>
        </w:rPr>
        <w:t>.</w:t>
      </w:r>
    </w:p>
    <w:p w:rsidR="007760F1" w:rsidRPr="003B373E" w:rsidRDefault="007760F1" w:rsidP="007760F1">
      <w:pPr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Решение принято единогласно</w:t>
      </w:r>
    </w:p>
    <w:p w:rsidR="007760F1" w:rsidRPr="003B373E" w:rsidRDefault="007760F1" w:rsidP="007760F1">
      <w:pPr>
        <w:jc w:val="both"/>
        <w:rPr>
          <w:b/>
          <w:sz w:val="26"/>
          <w:szCs w:val="26"/>
        </w:rPr>
      </w:pPr>
    </w:p>
    <w:p w:rsidR="007760F1" w:rsidRPr="003B373E" w:rsidRDefault="007760F1" w:rsidP="007760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B373E">
        <w:rPr>
          <w:b/>
          <w:i/>
          <w:sz w:val="26"/>
          <w:szCs w:val="26"/>
          <w:u w:val="single"/>
        </w:rPr>
        <w:t>По второму вопросу</w:t>
      </w:r>
    </w:p>
    <w:p w:rsidR="007760F1" w:rsidRPr="003B373E" w:rsidRDefault="007760F1" w:rsidP="007760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3B373E">
        <w:rPr>
          <w:b/>
          <w:sz w:val="26"/>
          <w:szCs w:val="26"/>
        </w:rPr>
        <w:t xml:space="preserve">О восстановлении членства в НП ААС </w:t>
      </w:r>
    </w:p>
    <w:p w:rsidR="007760F1" w:rsidRPr="003B373E" w:rsidRDefault="007760F1" w:rsidP="007760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760F1" w:rsidRPr="003B373E" w:rsidRDefault="007760F1" w:rsidP="007760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Решили:</w:t>
      </w:r>
    </w:p>
    <w:p w:rsidR="007760F1" w:rsidRPr="004371E9" w:rsidRDefault="007760F1" w:rsidP="004371E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371E9">
        <w:rPr>
          <w:sz w:val="26"/>
          <w:szCs w:val="26"/>
        </w:rPr>
        <w:t>2.1. Восстановить членство в НП ААС в связи с устранением нарушений 1 аудиторской организации</w:t>
      </w:r>
      <w:r w:rsidR="004371E9" w:rsidRPr="004371E9">
        <w:rPr>
          <w:sz w:val="26"/>
          <w:szCs w:val="26"/>
        </w:rPr>
        <w:t>.</w:t>
      </w:r>
    </w:p>
    <w:p w:rsidR="007760F1" w:rsidRPr="003B373E" w:rsidRDefault="007760F1" w:rsidP="007760F1">
      <w:pPr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Решение принято единогласно</w:t>
      </w:r>
    </w:p>
    <w:p w:rsidR="007760F1" w:rsidRPr="003B373E" w:rsidRDefault="007760F1" w:rsidP="007760F1">
      <w:pPr>
        <w:jc w:val="both"/>
        <w:rPr>
          <w:b/>
          <w:sz w:val="26"/>
          <w:szCs w:val="26"/>
        </w:rPr>
      </w:pPr>
    </w:p>
    <w:p w:rsidR="007760F1" w:rsidRPr="003B373E" w:rsidRDefault="007760F1" w:rsidP="007760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B373E">
        <w:rPr>
          <w:b/>
          <w:i/>
          <w:sz w:val="26"/>
          <w:szCs w:val="26"/>
          <w:u w:val="single"/>
        </w:rPr>
        <w:t>По третьему вопросу</w:t>
      </w:r>
    </w:p>
    <w:p w:rsidR="007760F1" w:rsidRPr="003B373E" w:rsidRDefault="007760F1" w:rsidP="007760F1">
      <w:pPr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О приостановлении членства в НП ААС</w:t>
      </w:r>
    </w:p>
    <w:p w:rsidR="007760F1" w:rsidRDefault="007760F1" w:rsidP="007760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760F1" w:rsidRPr="003B373E" w:rsidRDefault="007760F1" w:rsidP="007760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Решили:</w:t>
      </w:r>
    </w:p>
    <w:p w:rsidR="007760F1" w:rsidRPr="004371E9" w:rsidRDefault="007760F1" w:rsidP="004371E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371E9">
        <w:rPr>
          <w:sz w:val="26"/>
          <w:szCs w:val="26"/>
        </w:rPr>
        <w:t>3.1. Приостановить членство в НП ААС по Предписанию Управления Федерального Казначейства по г. Санкт-Петербургу на срок 180 календарных дней 1 аудиторской организации</w:t>
      </w:r>
      <w:r w:rsidR="004371E9" w:rsidRPr="004371E9">
        <w:rPr>
          <w:sz w:val="26"/>
          <w:szCs w:val="26"/>
        </w:rPr>
        <w:t>.</w:t>
      </w:r>
    </w:p>
    <w:p w:rsidR="007760F1" w:rsidRDefault="007760F1" w:rsidP="007760F1">
      <w:pPr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7760F1" w:rsidRPr="00825A45" w:rsidRDefault="007760F1" w:rsidP="007760F1">
      <w:pPr>
        <w:jc w:val="both"/>
        <w:rPr>
          <w:sz w:val="26"/>
          <w:szCs w:val="26"/>
        </w:rPr>
      </w:pPr>
      <w:r w:rsidRPr="00825A45">
        <w:rPr>
          <w:sz w:val="26"/>
          <w:szCs w:val="26"/>
        </w:rPr>
        <w:t>«За» - 16 голосов</w:t>
      </w:r>
    </w:p>
    <w:p w:rsidR="007760F1" w:rsidRPr="00825A45" w:rsidRDefault="007760F1" w:rsidP="007760F1">
      <w:pPr>
        <w:jc w:val="both"/>
        <w:rPr>
          <w:sz w:val="26"/>
          <w:szCs w:val="26"/>
        </w:rPr>
      </w:pPr>
      <w:r w:rsidRPr="00825A45">
        <w:rPr>
          <w:sz w:val="26"/>
          <w:szCs w:val="26"/>
        </w:rPr>
        <w:t>«Против» - 0 голосов</w:t>
      </w:r>
    </w:p>
    <w:p w:rsidR="007760F1" w:rsidRPr="00825A45" w:rsidRDefault="007760F1" w:rsidP="007760F1">
      <w:pPr>
        <w:jc w:val="both"/>
        <w:rPr>
          <w:sz w:val="26"/>
          <w:szCs w:val="26"/>
        </w:rPr>
      </w:pPr>
      <w:r w:rsidRPr="00825A45">
        <w:rPr>
          <w:sz w:val="26"/>
          <w:szCs w:val="26"/>
        </w:rPr>
        <w:t>«Воздержался» - 1 голос</w:t>
      </w:r>
    </w:p>
    <w:p w:rsidR="007760F1" w:rsidRPr="00825A45" w:rsidRDefault="007760F1" w:rsidP="007760F1">
      <w:pPr>
        <w:jc w:val="both"/>
        <w:rPr>
          <w:sz w:val="26"/>
          <w:szCs w:val="26"/>
        </w:rPr>
      </w:pPr>
      <w:r w:rsidRPr="00825A45">
        <w:rPr>
          <w:sz w:val="26"/>
          <w:szCs w:val="26"/>
        </w:rPr>
        <w:t>«Особое мнение» - 0 голосов</w:t>
      </w:r>
    </w:p>
    <w:p w:rsidR="007760F1" w:rsidRPr="003B373E" w:rsidRDefault="007760F1" w:rsidP="007760F1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ab/>
      </w:r>
    </w:p>
    <w:p w:rsidR="007760F1" w:rsidRPr="003B373E" w:rsidRDefault="007760F1" w:rsidP="007760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B373E">
        <w:rPr>
          <w:b/>
          <w:i/>
          <w:sz w:val="26"/>
          <w:szCs w:val="26"/>
          <w:u w:val="single"/>
        </w:rPr>
        <w:t>По четвертому вопросу</w:t>
      </w:r>
    </w:p>
    <w:p w:rsidR="007760F1" w:rsidRPr="003B373E" w:rsidRDefault="007760F1" w:rsidP="007760F1">
      <w:pPr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О прекращении членства в НП ААС</w:t>
      </w:r>
    </w:p>
    <w:p w:rsidR="007760F1" w:rsidRPr="003B373E" w:rsidRDefault="007760F1" w:rsidP="007760F1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ab/>
      </w:r>
      <w:r w:rsidRPr="003B373E">
        <w:rPr>
          <w:b/>
          <w:sz w:val="26"/>
          <w:szCs w:val="26"/>
        </w:rPr>
        <w:tab/>
      </w:r>
    </w:p>
    <w:p w:rsidR="007760F1" w:rsidRPr="003B373E" w:rsidRDefault="007760F1" w:rsidP="007760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Решили:</w:t>
      </w:r>
    </w:p>
    <w:p w:rsidR="007760F1" w:rsidRPr="004371E9" w:rsidRDefault="007760F1" w:rsidP="004D0804">
      <w:pPr>
        <w:jc w:val="both"/>
        <w:rPr>
          <w:sz w:val="26"/>
          <w:szCs w:val="26"/>
        </w:rPr>
      </w:pPr>
      <w:r w:rsidRPr="004371E9">
        <w:rPr>
          <w:sz w:val="26"/>
          <w:szCs w:val="26"/>
        </w:rPr>
        <w:t>4.1. Прекратить членство в НП ААС на основании поданного заявления 1 аудитора</w:t>
      </w:r>
      <w:r w:rsidR="004371E9" w:rsidRPr="004371E9">
        <w:rPr>
          <w:sz w:val="26"/>
          <w:szCs w:val="26"/>
        </w:rPr>
        <w:t>;</w:t>
      </w:r>
    </w:p>
    <w:p w:rsidR="007760F1" w:rsidRPr="004371E9" w:rsidRDefault="004D0804" w:rsidP="004D08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7760F1" w:rsidRPr="004371E9">
        <w:rPr>
          <w:sz w:val="26"/>
          <w:szCs w:val="26"/>
        </w:rPr>
        <w:t>Прекратить членство в НП ААС на основании поданного заявления 1 индивидуального аудитора</w:t>
      </w:r>
      <w:r w:rsidR="004371E9" w:rsidRPr="004371E9">
        <w:rPr>
          <w:sz w:val="26"/>
          <w:szCs w:val="26"/>
        </w:rPr>
        <w:t>;</w:t>
      </w:r>
      <w:r w:rsidR="007760F1" w:rsidRPr="004371E9">
        <w:rPr>
          <w:sz w:val="26"/>
          <w:szCs w:val="26"/>
        </w:rPr>
        <w:t xml:space="preserve"> </w:t>
      </w:r>
    </w:p>
    <w:p w:rsidR="007760F1" w:rsidRPr="004371E9" w:rsidRDefault="007760F1" w:rsidP="004D0804">
      <w:pPr>
        <w:jc w:val="both"/>
        <w:rPr>
          <w:sz w:val="26"/>
          <w:szCs w:val="26"/>
        </w:rPr>
      </w:pPr>
      <w:r w:rsidRPr="004371E9">
        <w:rPr>
          <w:sz w:val="26"/>
          <w:szCs w:val="26"/>
        </w:rPr>
        <w:t>4.3. Прекратить членство в НП ААС на основании поданного заявления 4 аудиторских ор</w:t>
      </w:r>
      <w:r w:rsidR="004371E9" w:rsidRPr="004371E9">
        <w:rPr>
          <w:sz w:val="26"/>
          <w:szCs w:val="26"/>
        </w:rPr>
        <w:t>ганизаций.</w:t>
      </w:r>
    </w:p>
    <w:p w:rsidR="00873110" w:rsidRPr="00873110" w:rsidRDefault="007760F1" w:rsidP="007760F1">
      <w:pPr>
        <w:jc w:val="both"/>
        <w:rPr>
          <w:b/>
          <w:sz w:val="26"/>
          <w:szCs w:val="26"/>
        </w:rPr>
      </w:pPr>
      <w:r w:rsidRPr="003B373E">
        <w:rPr>
          <w:b/>
          <w:sz w:val="26"/>
          <w:szCs w:val="26"/>
        </w:rPr>
        <w:t>Решение принято единогласно</w:t>
      </w:r>
    </w:p>
    <w:p w:rsidR="00775BB6" w:rsidRPr="00873110" w:rsidRDefault="00775BB6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697532" w:rsidRPr="00873110" w:rsidRDefault="00313EE8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73110">
        <w:rPr>
          <w:sz w:val="26"/>
          <w:szCs w:val="26"/>
        </w:rPr>
        <w:t xml:space="preserve"> Н</w:t>
      </w:r>
      <w:r w:rsidRPr="00873110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4D0804" w:rsidRPr="00873110" w:rsidRDefault="004D0804" w:rsidP="00687A9C">
      <w:pPr>
        <w:jc w:val="both"/>
        <w:rPr>
          <w:sz w:val="26"/>
          <w:szCs w:val="26"/>
        </w:rPr>
      </w:pPr>
    </w:p>
    <w:p w:rsidR="000A3FEE" w:rsidRPr="00873110" w:rsidRDefault="000A3FEE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Подписи:</w:t>
      </w:r>
    </w:p>
    <w:p w:rsidR="00014743" w:rsidRPr="00873110" w:rsidRDefault="00014743" w:rsidP="00687A9C">
      <w:pPr>
        <w:jc w:val="both"/>
        <w:rPr>
          <w:sz w:val="26"/>
          <w:szCs w:val="26"/>
        </w:rPr>
      </w:pPr>
    </w:p>
    <w:p w:rsidR="000A3FEE" w:rsidRPr="00873110" w:rsidRDefault="000A3FEE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Председатель Правления НП ААС </w:t>
      </w:r>
      <w:r w:rsidR="008A76A2" w:rsidRPr="00873110">
        <w:rPr>
          <w:sz w:val="26"/>
          <w:szCs w:val="26"/>
        </w:rPr>
        <w:t>______________________</w:t>
      </w:r>
      <w:r w:rsidRPr="00873110">
        <w:rPr>
          <w:sz w:val="26"/>
          <w:szCs w:val="26"/>
        </w:rPr>
        <w:t xml:space="preserve"> </w:t>
      </w:r>
      <w:r w:rsidR="00F272CA" w:rsidRPr="00873110">
        <w:rPr>
          <w:sz w:val="26"/>
          <w:szCs w:val="26"/>
        </w:rPr>
        <w:t>В.Т. Чая</w:t>
      </w:r>
    </w:p>
    <w:p w:rsidR="00050C92" w:rsidRPr="00873110" w:rsidRDefault="00050C92" w:rsidP="00687A9C">
      <w:pPr>
        <w:jc w:val="both"/>
        <w:rPr>
          <w:sz w:val="26"/>
          <w:szCs w:val="26"/>
        </w:rPr>
      </w:pPr>
    </w:p>
    <w:p w:rsidR="0037304E" w:rsidRPr="00873110" w:rsidRDefault="000A3FEE" w:rsidP="00392626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73110" w:rsidSect="004D0804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94087">
      <w:rPr>
        <w:i/>
        <w:lang w:val="ru-RU"/>
      </w:rPr>
      <w:t>22</w:t>
    </w:r>
    <w:r w:rsidR="007760F1">
      <w:rPr>
        <w:i/>
        <w:lang w:val="ru-RU"/>
      </w:rPr>
      <w:t>9</w:t>
    </w:r>
    <w:r>
      <w:rPr>
        <w:i/>
      </w:rPr>
      <w:t xml:space="preserve"> Заседания Правления НП ААС от </w:t>
    </w:r>
    <w:r w:rsidR="007760F1">
      <w:rPr>
        <w:i/>
        <w:lang w:val="ru-RU"/>
      </w:rPr>
      <w:t>01</w:t>
    </w:r>
    <w:r w:rsidR="002121A0">
      <w:rPr>
        <w:i/>
        <w:lang w:val="ru-RU"/>
      </w:rPr>
      <w:t xml:space="preserve"> </w:t>
    </w:r>
    <w:r w:rsidR="007760F1">
      <w:rPr>
        <w:i/>
        <w:lang w:val="ru-RU"/>
      </w:rPr>
      <w:t>сентября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7760F1">
      <w:rPr>
        <w:i/>
        <w:lang w:val="ru-RU"/>
      </w:rPr>
      <w:t xml:space="preserve">    </w:t>
    </w:r>
    <w:r>
      <w:rPr>
        <w:i/>
      </w:rPr>
      <w:t xml:space="preserve">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4D0804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121A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F34"/>
    <w:multiLevelType w:val="hybridMultilevel"/>
    <w:tmpl w:val="A00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36529"/>
    <w:multiLevelType w:val="hybridMultilevel"/>
    <w:tmpl w:val="2C5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2FCD"/>
    <w:multiLevelType w:val="hybridMultilevel"/>
    <w:tmpl w:val="94EEF168"/>
    <w:lvl w:ilvl="0" w:tplc="E8967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5D92"/>
    <w:multiLevelType w:val="hybridMultilevel"/>
    <w:tmpl w:val="64FC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582D"/>
    <w:multiLevelType w:val="hybridMultilevel"/>
    <w:tmpl w:val="3BA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93E0D"/>
    <w:multiLevelType w:val="hybridMultilevel"/>
    <w:tmpl w:val="B1349E46"/>
    <w:lvl w:ilvl="0" w:tplc="83665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9"/>
  </w:num>
  <w:num w:numId="5">
    <w:abstractNumId w:val="12"/>
  </w:num>
  <w:num w:numId="6">
    <w:abstractNumId w:val="17"/>
  </w:num>
  <w:num w:numId="7">
    <w:abstractNumId w:val="21"/>
  </w:num>
  <w:num w:numId="8">
    <w:abstractNumId w:val="8"/>
  </w:num>
  <w:num w:numId="9">
    <w:abstractNumId w:val="16"/>
  </w:num>
  <w:num w:numId="10">
    <w:abstractNumId w:val="13"/>
  </w:num>
  <w:num w:numId="11">
    <w:abstractNumId w:val="23"/>
  </w:num>
  <w:num w:numId="12">
    <w:abstractNumId w:val="24"/>
  </w:num>
  <w:num w:numId="13">
    <w:abstractNumId w:val="22"/>
  </w:num>
  <w:num w:numId="14">
    <w:abstractNumId w:val="20"/>
  </w:num>
  <w:num w:numId="15">
    <w:abstractNumId w:val="14"/>
  </w:num>
  <w:num w:numId="16">
    <w:abstractNumId w:val="25"/>
  </w:num>
  <w:num w:numId="17">
    <w:abstractNumId w:val="5"/>
  </w:num>
  <w:num w:numId="18">
    <w:abstractNumId w:val="18"/>
  </w:num>
  <w:num w:numId="19">
    <w:abstractNumId w:val="15"/>
  </w:num>
  <w:num w:numId="20">
    <w:abstractNumId w:val="7"/>
  </w:num>
  <w:num w:numId="21">
    <w:abstractNumId w:val="11"/>
  </w:num>
  <w:num w:numId="22">
    <w:abstractNumId w:val="3"/>
  </w:num>
  <w:num w:numId="23">
    <w:abstractNumId w:val="9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1E9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0804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2761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2016-09-02T10:37:00Z</dcterms:created>
  <dcterms:modified xsi:type="dcterms:W3CDTF">2016-09-02T10:37:00Z</dcterms:modified>
</cp:coreProperties>
</file>