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FE" w:rsidRPr="004B21FE" w:rsidRDefault="004B21FE" w:rsidP="004B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21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ФЕДЕРАЛЬНАЯ СЛУЖБА ПО ФИНАНСОВЫМ РЫНКАМ</w:t>
      </w:r>
    </w:p>
    <w:p w:rsidR="004B21FE" w:rsidRPr="004B21FE" w:rsidRDefault="004B21FE" w:rsidP="004B2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FE" w:rsidRPr="004B21FE" w:rsidRDefault="004B21FE" w:rsidP="004B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 w:rsidRPr="004B21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ИНФОРМАЦИОННОЕ ПИСЬМО</w:t>
      </w:r>
    </w:p>
    <w:bookmarkEnd w:id="0"/>
    <w:p w:rsidR="004B21FE" w:rsidRPr="004B21FE" w:rsidRDefault="004B21FE" w:rsidP="004B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21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23 апреля 2013 г. N 13-СХ-10/14683</w:t>
      </w:r>
    </w:p>
    <w:p w:rsidR="004B21FE" w:rsidRPr="004B21FE" w:rsidRDefault="004B21FE" w:rsidP="004B2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FE" w:rsidRPr="004B21FE" w:rsidRDefault="004B21FE" w:rsidP="004B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21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ОБЪЕМЕ, ПОРЯДКЕ, СРОКАХ И ФОРМАТЕ</w:t>
      </w:r>
    </w:p>
    <w:p w:rsidR="004B21FE" w:rsidRPr="004B21FE" w:rsidRDefault="004B21FE" w:rsidP="004B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4B21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СОСТАВЛЯЕМОЙ И (ИЛИ) ПРЕДСТАВЛЯЕМОЙ В ФСФР</w:t>
      </w:r>
      <w:proofErr w:type="gramEnd"/>
    </w:p>
    <w:p w:rsidR="004B21FE" w:rsidRPr="004B21FE" w:rsidRDefault="004B21FE" w:rsidP="004B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21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РОССИИ В ЭЛЕКТРОННОМ ВИДЕ КОНСОЛИДИРОВАННОЙ ГОДОВОЙ</w:t>
      </w:r>
    </w:p>
    <w:p w:rsidR="004B21FE" w:rsidRPr="004B21FE" w:rsidRDefault="004B21FE" w:rsidP="004B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21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ФИНАНСОВОЙ (БУХГАЛТЕРСКОЙ) ОТЧЕТНОСТИ ЗА 2012 ГОД</w:t>
      </w:r>
    </w:p>
    <w:p w:rsidR="004B21FE" w:rsidRPr="004B21FE" w:rsidRDefault="004B21FE" w:rsidP="004B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21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 МЕЖДУНАРОДНЫМИ СТАНДАРТАМИ </w:t>
      </w:r>
      <w:proofErr w:type="gramStart"/>
      <w:r w:rsidRPr="004B21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ФИНАНСОВОЙ</w:t>
      </w:r>
      <w:proofErr w:type="gramEnd"/>
    </w:p>
    <w:p w:rsidR="004B21FE" w:rsidRPr="004B21FE" w:rsidRDefault="004B21FE" w:rsidP="004B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21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ОТЧЕТНОСТИ (МСФО) И (ИЛИ) ОБЩЕПРИНЯТЫМИ ПРИНЦИПАМИ</w:t>
      </w:r>
    </w:p>
    <w:p w:rsidR="004B21FE" w:rsidRPr="004B21FE" w:rsidRDefault="004B21FE" w:rsidP="004B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21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БУХГАЛТЕРСКОГО УЧЕТА США (US GAAP)</w:t>
      </w:r>
    </w:p>
    <w:p w:rsidR="004B21FE" w:rsidRPr="004B21FE" w:rsidRDefault="004B21FE" w:rsidP="004B2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методической помощи при составлении и (или) предоставлении консолидированной финансовой отчетности в соответствии с Федеральным законом от 27.07.2010 N 208-ФЗ "О консолидированной финансовой отчетности" (далее - Закон о консолидированной финансовой отчетности) Федеральная служба по финансовым рынкам в рамках своей компетенции, установленной пунктами 6.3 и 6.6 Положения о Федеральной службе по финансовым рынкам, утвержденного постановлением Правительства Российской Федерации от 29.08.2011</w:t>
      </w:r>
      <w:proofErr w:type="gramEnd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N 717, доводит рекомендации по предоставлению организациями (за исключением страховых организаций) консолидированной годовой финансовой (бухгалтерской) отчетности за 2012 год в соответствии с Международными стандартами финансовой отчетности (МСФО) и (или) Общепринятыми принципами бухгалтерского учета США (US GAAP) до сведения организаций, ценные бумаги которых допущены к организованным торгам путем их включения в котировальный список, и (или) на которые возложена предусмотренная федеральными законами</w:t>
      </w:r>
      <w:proofErr w:type="gramEnd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составлению, и (или) предоставлению, и (или) публикации консолидированной финансовой отчетности (сводной бухгалтерской отчетности, сводной (консолидированной) отчетности и баланса), и (или) учредительными документами которых предусмотрены предоставление и (или) публикация консолидированной финансовой отчетности.</w:t>
      </w:r>
      <w:proofErr w:type="gramEnd"/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части 2 статьи 8 Закона о консолидированной финансовой отчетности организации, ценные бумаги которых допущены к обращению на организованных торгах и которые составляют консолидированную финансовую отчетность по Общепринятым принципам бухгалтерского учета США (US GAAP), а также организации, облигации которых допущены к обращению на организованных торгах, обязаны, начиная с отчетности за год, следующий за годом, в котором МСФО признаны для</w:t>
      </w:r>
      <w:proofErr w:type="gramEnd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на территории Российской Федерации, но не ранее чем с отчетности за 2015 год, представлять и публиковать консолидированную финансовую отчетность.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Исключение ценных бумаг организаций, не являющихся кредитными или страховыми организациями, из котировального списка влечет согласно требованиям подпункта 9 пункта 1 статьи 8 Гражданского кодекса Российской Федерации (далее - ГК РФ) прекращение установленных Законом о консолидированной финансовой отчетности обязанностей по составлению, предоставлению и публикации такой организацией консолидированной финансовой отчетности.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ФСФР России также информирует, что помимо Закона о консолидированной финансовой отчетности обязанность организаций по опубликованию (раскрытию) консолидированной финансовой отчетности в случае регистрации проспекта ценных бумаг, допуска биржевых облигаций или российских депозитарных расписок к организованным торгам с представлением бирже проспекта указанных ценных бумаг для </w:t>
      </w: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такого допуска и размещения соответствующих ценных бумаг распространяется на организации в соответствии с требованиями подпункта 2 пункта</w:t>
      </w:r>
      <w:proofErr w:type="gramEnd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статьи 30 Федерального закона от 22.04.1996 N 39-ФЗ "О рынке ценных бумаг" (далее - Закон о рынке ценных бумаг).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требований пункта 12 статьи 30 Закона о рынке ценных бумаг и части 2 статьи 2 Закона о консолидированной финансовой отчетности подлежащая раскрытию консолидированная финансовая отчетность должна составляться в соответствии с Законом о консолидированной финансовой отчетности.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раскрытию консолидированной финансовой отчетности согласно требованиям законодательства Российской Федерации о ценных бумагах прекращается с момента освобождения эмитента, являющегося акционерным обществом, от обязанности осуществлять раскрытие информации о ценных бумагах или погашения соответствующих размещенных ценных бумаг (облигаций, российских депозитарных расписок), в отношении которых осуществлялась регистрация их проспекта (проспект которых предоставлялся бирже для их допуска к организованным торгам), согласно требованиям статьи</w:t>
      </w:r>
      <w:proofErr w:type="gramEnd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30.1 Закона о рынке ценных бумаг.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ФСФР России обращает внимание организаций, в отношении которых установлена обязанность по раскрытию консолидированной финансовой отчетности согласно требованиям законодательства Российской Федерации о ценных бумагах, на отсутствие у них обязанности предоставлять консолидированную финансовую отчетность в ФСФР России, в случае отсутствия у указанных организаций ценных бумаг, допущенных к организованным торгам путем их включения в котировальный список.</w:t>
      </w:r>
      <w:proofErr w:type="gramEnd"/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Согласно части 2 статьи 3 Закона о консолидированной финансовой отчетности консолидированная финансовая отчетность организации составляется наряду с бухгалтерской отчетностью этой организации, то есть консолидированная финансовая отчетность, составляемая организацией, и бухгалтерская (финансовая) отчетность этой организации являются разными видами отчетности.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 Закона о консолидированной финансовой отчетности годовая консолидированная финансовая отчетность подлежит обязательному аудиту.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 (аудиторская организация), утверждаемый общим собранием акционеров акционерного общества (общим собранием участников или советом директоров (наблюдательным советом) общества с ограниченной ответственностью), привлекается для проверки годовой бухгалтерской (финансовой) отчетности хозяйственного общества и его финансово-хозяйственной деятельности (пункт 4 статьи 91, пункт 5 статьи 103 ГК РФ, статья 48 Федерального закона от 08.02.1998 N 14-ФЗ "Об обществах с ограниченной ответственностью", статья 86, абзац</w:t>
      </w:r>
      <w:proofErr w:type="gramEnd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пункта 3 статьи 88 Федерального закона от 26.12.1995 N 208-ФЗ "Об акционерных обществах").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общим собранием акционеров акционерного общества (общим собранием участников или советом директоров (наблюдательным советом) общества с ограниченной ответственностью) аудиторской организации для проведения обязательного аудита годовой консолидированной финансовой отчетности законодательством Российской Федерации в настоящее время не предусмотрено.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аудит годовой консолидированной финансовой отчетности, составленной хозяйственным обществом, и обязательный аудит (аудит) годовой бухгалтерской (финансовой) отчетности хозяйственного общества могут быть проведены разными аудиторскими организациями.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Подлежащая в соответствии с постановлением Правительства Российской Федерации от 03.03.2012 N 179 "О предоставлении годовой консолидированной финансовой отчетности" предоставлению в ФСФР России годовая консолидированная финансовая отчетность предоставляется до проведения общего собрания участников организации, но не позднее 120 дней после окончания года, за который составлена данная отчетность.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Предельным сроком предоставления в ФСФР России годовой консолидированной финансовой отчетности за 2012 год является 30 апреля 2013 года.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Текст годовой консолидированной финансовой отчетности направляется в ФСФР России в форме электронного документа, подписанного неквалифицированной электронной подписью (далее - ЭП), в соответствии с условиями договора об использовании ЭП, заключенного с уполномоченной организацией, и требованиями нормативных правовых актов ФСФР России.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удостоверяющих центров, имеющих право выдачи ЭП, размещен на официальном сайте ФСФР России в информационно-телекоммуникационной сети "Интернет" (</w:t>
      </w:r>
      <w:hyperlink r:id="rId5" w:tgtFrame="_blank" w:tooltip="Ссылка на ресурс www.fcsm.ru" w:history="1">
        <w:r w:rsidRPr="004B2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www.fcsm.ru</w:t>
        </w:r>
      </w:hyperlink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- сайт ФСФР России) в разделе "Участники финансовых рынков/Электронный документооборот/Удостоверяющие центры".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Сведения о предоставленной годовой консолидированной финансовой отчетности включают сведения об основаниях для предоставления консолидированной финансовой отчетности, а также следующую информацию: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Реквизиты юридического лица: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фирменное наименование юридического лица;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фирменное наименование юридического лица;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код эмитента, присвоенный органом, осуществившим регистрацию выпуска ценных бумаг;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резидент/нерезидент;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юридического лица;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юридического лица;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ОКПО;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юридического лица, а также адрес электронной почты;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(сайты) используемы</w:t>
      </w:r>
      <w:proofErr w:type="gramStart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-е) для раскрытия информации.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Характеристика юридического лица: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коммерческая/некоммерческая организация;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 юридического лица;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государственного оборонного заказа;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по консолидированной финансовой отчетности юридических лиц, выполняющих государственный оборонный заказ (с обязательным указанием разделов (пунктов, подпунктов) консолидированной финансовой отчетности, содержащих государственную тайну).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Сведения о предоставленной консолидированной финансовой отчетности: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консолидированной финансовой отчетности;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стандарты, в соответствии с которыми составлена консолидированная финансовая отчетность.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Общие реквизиты документа: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номер исходящего документа;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лице, подписавшем консолидированную финансовую отчетность (руководитель организации/иные лица, уполномоченные на подписание отчетности учредительными документами организации);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контактном лице, ответственном за предоставление отчетности;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консолидированной финансовой отчетности;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юридических лиц, данные о которых отражены в консолидированной финансовой отчетности организацией как единым субъектом экономической деятельности (указывается полный перечень юридических лиц, данные о которых отражены в консолидированной финансовой отчетности организацией как единым субъектом экономической деятельности).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9.5. Сведения об организаторе торговли и ценных бумагах: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организатора торговли;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органа, осуществившего регистрацию выпуска ценных бумаг;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допуске ценных бумаг к торгам путем включения в котировальный список;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признак ценной бумаги/номер государственной регистрации выпуска ценных бумаг;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присвоения номера;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валюты и номинальная стоимость ценных бумаг;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ценных бумаг, допущенных к обращению.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9.6. Сведения об аудиторской организации, предоставившей аудиторское заключение по консолидированной финансовой отчетности: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фирменное наименование;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фирменное наименование;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ИНН/ОГРН;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(если имеется);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организации.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9.7. Сведения о саморегулируемой организации, членом которой является аудиторская организация: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фирменное наименование;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ИНН/ОГРН;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(если имеется).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Аудиторское заключение: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аудиторского заключения;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лице, подписавшем аудиторское заключение;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аудиторской организации.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эмитент не может представить часть информации, эмитент указывает на основание, в силу которого такая информация эмитентом не предоставляется.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предоставлении информации в электронном виде в форме годовой консолидированной финансовой отчетности в ФСФР России рекомендуется использоваться файлы, содержащие текст годовой консолидированной финансовой отчетности, представленные в XTDD-формате в кодировке Windows-1251 и имеющие расширение ".</w:t>
      </w:r>
      <w:proofErr w:type="spellStart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xtdd</w:t>
      </w:r>
      <w:proofErr w:type="spellEnd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файла в XTDD-формате, содержащего текст годовой консолидированной финансовой отчетности, предлагается использовать программный продукт ФСФР России "Программа-анкета для представления консолидированной финансовой отчетности" (далее - Программа-анкета), распространяемые без взимания платы через сайт ФСФР России в разделе "Главная страница/Участники финансовых рынков/Рынок ценных бумаг/Эмитенты/Электронная анкета".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Рекомендуемое наименование файла - </w:t>
      </w:r>
      <w:proofErr w:type="spellStart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msfo_YYYY_NNNNNL</w:t>
      </w:r>
      <w:proofErr w:type="spellEnd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YYYY - год, за который составлена годовая консолидированная финансовая отчетность, начиная с 2012 года;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NNNNNL - уникальный код эмитента, где NNNNN - числовое обозначение, а шестой разряд L указывает буквенное обозначение.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Файл, содержащий сведения о консолидированной финансовой отчетности по Общепринятым принципам бухгалтерского учета США (US GAAP), рекомендуется именовать - </w:t>
      </w:r>
      <w:proofErr w:type="spellStart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us_gaap_YYYY_NNNNNL</w:t>
      </w:r>
      <w:proofErr w:type="spellEnd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Подготовленный файл с электронным документом сохраняется в формате, предлагаемом Программой-анкетой. Полученный файл электронного документа подписывается с помощью криптографической программы ЭП.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Рекомендуемые форматы файла-приложения: ".</w:t>
      </w:r>
      <w:proofErr w:type="spellStart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", ".</w:t>
      </w:r>
      <w:proofErr w:type="spellStart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", ".</w:t>
      </w:r>
      <w:proofErr w:type="spellStart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" или ".</w:t>
      </w:r>
      <w:proofErr w:type="spellStart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участник информационного обмена создает с помощью программ-архиваторов архивный файл ZIP или 7z, включающий файл с электронным документом и файл (файлы) ЭП уполномоченного лица (лиц) (далее - Архив). Допускается формирование содержания Архива в следующих вариантах: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1) .</w:t>
      </w:r>
      <w:proofErr w:type="spellStart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(.</w:t>
      </w:r>
      <w:proofErr w:type="spellStart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xtdd</w:t>
      </w:r>
      <w:proofErr w:type="spellEnd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([ЭП]1 + ...</w:t>
      </w:r>
      <w:proofErr w:type="gramEnd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[ЭП]n),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2) .</w:t>
      </w:r>
      <w:proofErr w:type="spellStart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(.</w:t>
      </w:r>
      <w:proofErr w:type="spellStart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(.</w:t>
      </w:r>
      <w:proofErr w:type="spellStart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xtdd</w:t>
      </w:r>
      <w:proofErr w:type="spellEnd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) + ([ЭП]1 + ...</w:t>
      </w:r>
      <w:proofErr w:type="gramEnd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[ЭП]n),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n - количество ЭП, которое зависит от формы электронного документа.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Полученный таким образом Архив, не содержащий в себе прочих файлов и папок, с указанием в теме письма "отчетность по стандартам МСФО" или "отчетность по стандартам US GAAP" направляется на электронный адрес ФСФР России: msfo@ffms.ru, где ему присваивается входящий номер в системе делопроизводства ФСФР России.</w:t>
      </w:r>
    </w:p>
    <w:p w:rsidR="004B21FE" w:rsidRPr="004B21FE" w:rsidRDefault="004B21FE" w:rsidP="004B21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ФСФР России о принятии предоставленной отчетности направляется организации, предоставившей отчетность, по адресу ее электронной почты в течение трех дней со дня ее направления.</w:t>
      </w:r>
    </w:p>
    <w:p w:rsidR="004B21FE" w:rsidRPr="004B21FE" w:rsidRDefault="004B21FE" w:rsidP="004B2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FE" w:rsidRPr="004B21FE" w:rsidRDefault="004B21FE" w:rsidP="004B2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</w:p>
    <w:p w:rsidR="004B21FE" w:rsidRPr="004B21FE" w:rsidRDefault="004B21FE" w:rsidP="004B2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FE">
        <w:rPr>
          <w:rFonts w:ascii="Times New Roman" w:eastAsia="Times New Roman" w:hAnsi="Times New Roman" w:cs="Times New Roman"/>
          <w:sz w:val="24"/>
          <w:szCs w:val="24"/>
          <w:lang w:eastAsia="ru-RU"/>
        </w:rPr>
        <w:t>С.К.ХАРЛАМОВ</w:t>
      </w:r>
    </w:p>
    <w:p w:rsidR="003A4A45" w:rsidRDefault="003A4A45"/>
    <w:sectPr w:rsidR="003A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FE"/>
    <w:rsid w:val="00002B00"/>
    <w:rsid w:val="000364C3"/>
    <w:rsid w:val="00042E9B"/>
    <w:rsid w:val="00064FB9"/>
    <w:rsid w:val="000667E8"/>
    <w:rsid w:val="00094ED9"/>
    <w:rsid w:val="000D4CD0"/>
    <w:rsid w:val="000D7340"/>
    <w:rsid w:val="000E4F34"/>
    <w:rsid w:val="000F794D"/>
    <w:rsid w:val="00106D73"/>
    <w:rsid w:val="00107DF0"/>
    <w:rsid w:val="00114810"/>
    <w:rsid w:val="00122A93"/>
    <w:rsid w:val="00123950"/>
    <w:rsid w:val="00134DDE"/>
    <w:rsid w:val="001360ED"/>
    <w:rsid w:val="00163480"/>
    <w:rsid w:val="00166353"/>
    <w:rsid w:val="001A3504"/>
    <w:rsid w:val="001B3161"/>
    <w:rsid w:val="001C2699"/>
    <w:rsid w:val="001C48DF"/>
    <w:rsid w:val="001C759D"/>
    <w:rsid w:val="001D06FE"/>
    <w:rsid w:val="001E09A4"/>
    <w:rsid w:val="001E2325"/>
    <w:rsid w:val="001E2844"/>
    <w:rsid w:val="001F3614"/>
    <w:rsid w:val="00217802"/>
    <w:rsid w:val="0022489F"/>
    <w:rsid w:val="00262A0B"/>
    <w:rsid w:val="002645A7"/>
    <w:rsid w:val="00284491"/>
    <w:rsid w:val="00286A96"/>
    <w:rsid w:val="002938E9"/>
    <w:rsid w:val="00296978"/>
    <w:rsid w:val="002A0D7C"/>
    <w:rsid w:val="002A3264"/>
    <w:rsid w:val="002A4921"/>
    <w:rsid w:val="002C0A76"/>
    <w:rsid w:val="002F2C4C"/>
    <w:rsid w:val="0030755C"/>
    <w:rsid w:val="00313D1A"/>
    <w:rsid w:val="00322BB1"/>
    <w:rsid w:val="00334FB8"/>
    <w:rsid w:val="00340D2F"/>
    <w:rsid w:val="00356862"/>
    <w:rsid w:val="00365E08"/>
    <w:rsid w:val="003754F9"/>
    <w:rsid w:val="003A4A45"/>
    <w:rsid w:val="003B4F52"/>
    <w:rsid w:val="003D18B4"/>
    <w:rsid w:val="003D2904"/>
    <w:rsid w:val="003D2F16"/>
    <w:rsid w:val="003E1DF2"/>
    <w:rsid w:val="003E68BD"/>
    <w:rsid w:val="003F192E"/>
    <w:rsid w:val="00403692"/>
    <w:rsid w:val="004039AD"/>
    <w:rsid w:val="00412C09"/>
    <w:rsid w:val="004248A4"/>
    <w:rsid w:val="00436812"/>
    <w:rsid w:val="004440AA"/>
    <w:rsid w:val="00446861"/>
    <w:rsid w:val="004511B9"/>
    <w:rsid w:val="00495A3D"/>
    <w:rsid w:val="00495C66"/>
    <w:rsid w:val="0049644F"/>
    <w:rsid w:val="004A3F6B"/>
    <w:rsid w:val="004B21FE"/>
    <w:rsid w:val="004B66A2"/>
    <w:rsid w:val="004B6EA3"/>
    <w:rsid w:val="004B74E7"/>
    <w:rsid w:val="004D024D"/>
    <w:rsid w:val="004E03C9"/>
    <w:rsid w:val="004F044D"/>
    <w:rsid w:val="004F13DC"/>
    <w:rsid w:val="00512415"/>
    <w:rsid w:val="005215D2"/>
    <w:rsid w:val="0053363D"/>
    <w:rsid w:val="0053484F"/>
    <w:rsid w:val="005437DD"/>
    <w:rsid w:val="0054557B"/>
    <w:rsid w:val="005525EE"/>
    <w:rsid w:val="00552639"/>
    <w:rsid w:val="00552F3B"/>
    <w:rsid w:val="00563478"/>
    <w:rsid w:val="00584D17"/>
    <w:rsid w:val="00592BA3"/>
    <w:rsid w:val="005A36AC"/>
    <w:rsid w:val="005D62BA"/>
    <w:rsid w:val="005E1F11"/>
    <w:rsid w:val="005F4DE0"/>
    <w:rsid w:val="005F66AF"/>
    <w:rsid w:val="00631660"/>
    <w:rsid w:val="00646E18"/>
    <w:rsid w:val="00646E37"/>
    <w:rsid w:val="0065598A"/>
    <w:rsid w:val="00671F5C"/>
    <w:rsid w:val="00675332"/>
    <w:rsid w:val="006949C0"/>
    <w:rsid w:val="006A3DE3"/>
    <w:rsid w:val="006A4119"/>
    <w:rsid w:val="006B7362"/>
    <w:rsid w:val="006C243B"/>
    <w:rsid w:val="006C249B"/>
    <w:rsid w:val="006D738C"/>
    <w:rsid w:val="006E241C"/>
    <w:rsid w:val="006E2733"/>
    <w:rsid w:val="006E6276"/>
    <w:rsid w:val="006F07EE"/>
    <w:rsid w:val="00703C95"/>
    <w:rsid w:val="00705094"/>
    <w:rsid w:val="0072298C"/>
    <w:rsid w:val="007363D7"/>
    <w:rsid w:val="00760467"/>
    <w:rsid w:val="0076624B"/>
    <w:rsid w:val="00790C90"/>
    <w:rsid w:val="007A596D"/>
    <w:rsid w:val="007A66D3"/>
    <w:rsid w:val="007C0045"/>
    <w:rsid w:val="007D7A6F"/>
    <w:rsid w:val="007F4FFB"/>
    <w:rsid w:val="00802AD7"/>
    <w:rsid w:val="0081087A"/>
    <w:rsid w:val="00813E57"/>
    <w:rsid w:val="008207FD"/>
    <w:rsid w:val="008226AE"/>
    <w:rsid w:val="008443F0"/>
    <w:rsid w:val="00860B8C"/>
    <w:rsid w:val="00874636"/>
    <w:rsid w:val="0088712F"/>
    <w:rsid w:val="008E05D5"/>
    <w:rsid w:val="008F08D8"/>
    <w:rsid w:val="008F50AC"/>
    <w:rsid w:val="0090407A"/>
    <w:rsid w:val="00914673"/>
    <w:rsid w:val="00915C78"/>
    <w:rsid w:val="00915ED3"/>
    <w:rsid w:val="00916AE5"/>
    <w:rsid w:val="0093082C"/>
    <w:rsid w:val="009745B8"/>
    <w:rsid w:val="00984B8C"/>
    <w:rsid w:val="00994E2F"/>
    <w:rsid w:val="009A57CC"/>
    <w:rsid w:val="009B10BD"/>
    <w:rsid w:val="009D0F98"/>
    <w:rsid w:val="009D7266"/>
    <w:rsid w:val="00A01253"/>
    <w:rsid w:val="00A07E43"/>
    <w:rsid w:val="00A10BA7"/>
    <w:rsid w:val="00A1535B"/>
    <w:rsid w:val="00A36EEF"/>
    <w:rsid w:val="00A36F3B"/>
    <w:rsid w:val="00A55BF5"/>
    <w:rsid w:val="00A84AD9"/>
    <w:rsid w:val="00A85EF1"/>
    <w:rsid w:val="00A95769"/>
    <w:rsid w:val="00AC28FE"/>
    <w:rsid w:val="00AD4945"/>
    <w:rsid w:val="00AD67FB"/>
    <w:rsid w:val="00AE21B0"/>
    <w:rsid w:val="00AE4EC8"/>
    <w:rsid w:val="00B13D19"/>
    <w:rsid w:val="00B43381"/>
    <w:rsid w:val="00B52AB9"/>
    <w:rsid w:val="00B66F8A"/>
    <w:rsid w:val="00B76922"/>
    <w:rsid w:val="00B95E08"/>
    <w:rsid w:val="00BB55D3"/>
    <w:rsid w:val="00BD249A"/>
    <w:rsid w:val="00BD2FFC"/>
    <w:rsid w:val="00BD768F"/>
    <w:rsid w:val="00BE0544"/>
    <w:rsid w:val="00BE4F29"/>
    <w:rsid w:val="00C10C96"/>
    <w:rsid w:val="00C16144"/>
    <w:rsid w:val="00C2101C"/>
    <w:rsid w:val="00C21171"/>
    <w:rsid w:val="00C22A97"/>
    <w:rsid w:val="00C32A82"/>
    <w:rsid w:val="00C40A2F"/>
    <w:rsid w:val="00C57AE1"/>
    <w:rsid w:val="00C60D77"/>
    <w:rsid w:val="00C65120"/>
    <w:rsid w:val="00C72D50"/>
    <w:rsid w:val="00C94177"/>
    <w:rsid w:val="00CD57F7"/>
    <w:rsid w:val="00CD59D3"/>
    <w:rsid w:val="00CD647E"/>
    <w:rsid w:val="00CE6AB9"/>
    <w:rsid w:val="00D05BFD"/>
    <w:rsid w:val="00D05CA7"/>
    <w:rsid w:val="00D24F42"/>
    <w:rsid w:val="00D43D02"/>
    <w:rsid w:val="00D55161"/>
    <w:rsid w:val="00D62378"/>
    <w:rsid w:val="00D81649"/>
    <w:rsid w:val="00D84DFF"/>
    <w:rsid w:val="00DA17D0"/>
    <w:rsid w:val="00DA394E"/>
    <w:rsid w:val="00DD2B5B"/>
    <w:rsid w:val="00DD701F"/>
    <w:rsid w:val="00DD7B69"/>
    <w:rsid w:val="00DE0FC1"/>
    <w:rsid w:val="00E0653A"/>
    <w:rsid w:val="00E31E47"/>
    <w:rsid w:val="00E445C8"/>
    <w:rsid w:val="00E5224C"/>
    <w:rsid w:val="00E669B5"/>
    <w:rsid w:val="00E82ED3"/>
    <w:rsid w:val="00EF1210"/>
    <w:rsid w:val="00EF4775"/>
    <w:rsid w:val="00F052A6"/>
    <w:rsid w:val="00F0669B"/>
    <w:rsid w:val="00F06F22"/>
    <w:rsid w:val="00F4044C"/>
    <w:rsid w:val="00F43BCC"/>
    <w:rsid w:val="00F513DD"/>
    <w:rsid w:val="00F65644"/>
    <w:rsid w:val="00F75BF4"/>
    <w:rsid w:val="00F75D63"/>
    <w:rsid w:val="00F8279B"/>
    <w:rsid w:val="00F84455"/>
    <w:rsid w:val="00F8596E"/>
    <w:rsid w:val="00F859C2"/>
    <w:rsid w:val="00F871C7"/>
    <w:rsid w:val="00FA6F7F"/>
    <w:rsid w:val="00FA72CC"/>
    <w:rsid w:val="00FB5C34"/>
    <w:rsid w:val="00FE5465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21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21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B21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21FE"/>
  </w:style>
  <w:style w:type="paragraph" w:styleId="a4">
    <w:name w:val="Normal (Web)"/>
    <w:basedOn w:val="a"/>
    <w:uiPriority w:val="99"/>
    <w:semiHidden/>
    <w:unhideWhenUsed/>
    <w:rsid w:val="004B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rsid w:val="004B2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21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21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B21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21FE"/>
  </w:style>
  <w:style w:type="paragraph" w:styleId="a4">
    <w:name w:val="Normal (Web)"/>
    <w:basedOn w:val="a"/>
    <w:uiPriority w:val="99"/>
    <w:semiHidden/>
    <w:unhideWhenUsed/>
    <w:rsid w:val="004B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rsid w:val="004B2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0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cs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Колодяжный</dc:creator>
  <cp:lastModifiedBy>Владимир Колодяжный</cp:lastModifiedBy>
  <cp:revision>1</cp:revision>
  <dcterms:created xsi:type="dcterms:W3CDTF">2013-05-08T05:25:00Z</dcterms:created>
  <dcterms:modified xsi:type="dcterms:W3CDTF">2013-05-08T05:42:00Z</dcterms:modified>
</cp:coreProperties>
</file>