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8628"/>
      </w:tblGrid>
      <w:tr w:rsidR="009B3631" w:rsidRPr="009B3631" w14:paraId="1B439F96" w14:textId="77777777" w:rsidTr="009B3631">
        <w:tc>
          <w:tcPr>
            <w:tcW w:w="750" w:type="pct"/>
            <w:tcBorders>
              <w:right w:val="single" w:sz="18" w:space="0" w:color="4F81BD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6834AA8" w14:textId="77777777" w:rsidR="009B3631" w:rsidRPr="009B3631" w:rsidRDefault="009B3631" w:rsidP="009B3631">
            <w:pPr>
              <w:ind w:firstLine="0"/>
              <w:jc w:val="left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tcBorders>
              <w:left w:val="single" w:sz="18" w:space="0" w:color="4F81BD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5D3D949" w14:textId="77777777" w:rsidR="009B3631" w:rsidRPr="009B3631" w:rsidRDefault="009B3631" w:rsidP="009B3631">
            <w:pPr>
              <w:ind w:firstLine="0"/>
              <w:rPr>
                <w:rFonts w:ascii="Open Sans" w:eastAsia="Times New Roman" w:hAnsi="Open Sans"/>
                <w:sz w:val="24"/>
                <w:szCs w:val="24"/>
                <w:lang w:eastAsia="ru-RU"/>
              </w:rPr>
            </w:pPr>
            <w:r w:rsidRPr="009B3631">
              <w:rPr>
                <w:rFonts w:ascii="Cambria" w:eastAsia="Times New Roman" w:hAnsi="Cambria"/>
                <w:i/>
                <w:iCs/>
                <w:color w:val="4F81BD"/>
                <w:sz w:val="24"/>
                <w:szCs w:val="24"/>
                <w:lang w:eastAsia="ru-RU"/>
              </w:rPr>
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</w:r>
          </w:p>
        </w:tc>
      </w:tr>
    </w:tbl>
    <w:p w14:paraId="0C4DFDB6" w14:textId="77777777" w:rsidR="009B3631" w:rsidRPr="009B3631" w:rsidRDefault="009B3631" w:rsidP="009B3631">
      <w:pPr>
        <w:shd w:val="clear" w:color="auto" w:fill="FFFFFF"/>
        <w:ind w:firstLine="0"/>
        <w:jc w:val="left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</w:p>
    <w:p w14:paraId="270AD5C8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9B3631">
        <w:rPr>
          <w:rFonts w:eastAsia="Times New Roman"/>
          <w:b/>
          <w:bCs/>
          <w:color w:val="000000"/>
          <w:sz w:val="34"/>
          <w:szCs w:val="34"/>
          <w:lang w:eastAsia="ru-RU"/>
        </w:rPr>
        <w:t>НОВОЕ В БУХГАЛТЕРСКОМ ЗАКОНОДАТЕЛЬСТВЕ:</w:t>
      </w:r>
    </w:p>
    <w:p w14:paraId="65B82901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  <w:r w:rsidRPr="009B3631">
        <w:rPr>
          <w:rFonts w:eastAsia="Times New Roman"/>
          <w:b/>
          <w:bCs/>
          <w:color w:val="000000"/>
          <w:sz w:val="34"/>
          <w:szCs w:val="34"/>
          <w:lang w:eastAsia="ru-RU"/>
        </w:rPr>
        <w:t>факты и комментарии</w:t>
      </w:r>
    </w:p>
    <w:p w14:paraId="6509F2EA" w14:textId="77777777" w:rsidR="009B3631" w:rsidRPr="009B3631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sz w:val="24"/>
          <w:szCs w:val="24"/>
          <w:lang w:eastAsia="ru-RU"/>
        </w:rPr>
      </w:pPr>
    </w:p>
    <w:p w14:paraId="49B8D5E5" w14:textId="77777777" w:rsidR="009B3631" w:rsidRPr="00A6786C" w:rsidRDefault="009B3631" w:rsidP="009B3631">
      <w:pPr>
        <w:shd w:val="clear" w:color="auto" w:fill="FFFFFF"/>
        <w:spacing w:line="300" w:lineRule="atLeast"/>
        <w:ind w:firstLine="0"/>
        <w:jc w:val="center"/>
        <w:rPr>
          <w:rFonts w:ascii="Open Sans" w:eastAsia="Times New Roman" w:hAnsi="Open Sans" w:cs="Arial"/>
          <w:color w:val="000000"/>
          <w:lang w:eastAsia="ru-RU"/>
        </w:rPr>
      </w:pPr>
      <w:r w:rsidRPr="00A6786C">
        <w:rPr>
          <w:rFonts w:eastAsia="Times New Roman"/>
          <w:b/>
          <w:bCs/>
          <w:color w:val="000000"/>
          <w:lang w:eastAsia="ru-RU"/>
        </w:rPr>
        <w:t>Информационное сообщение</w:t>
      </w:r>
    </w:p>
    <w:p w14:paraId="52F298B1" w14:textId="77777777" w:rsidR="002550E9" w:rsidRDefault="007A7888" w:rsidP="002550E9">
      <w:pPr>
        <w:shd w:val="clear" w:color="auto" w:fill="FFFFFF"/>
        <w:spacing w:line="300" w:lineRule="atLeast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23 </w:t>
      </w:r>
      <w:r w:rsidR="009B761E">
        <w:rPr>
          <w:rFonts w:eastAsia="Times New Roman"/>
          <w:b/>
          <w:bCs/>
          <w:color w:val="000000"/>
          <w:lang w:eastAsia="ru-RU"/>
        </w:rPr>
        <w:t>марта</w:t>
      </w:r>
      <w:r w:rsidR="00A05B7C">
        <w:rPr>
          <w:rFonts w:eastAsia="Times New Roman"/>
          <w:b/>
          <w:bCs/>
          <w:color w:val="000000"/>
          <w:lang w:eastAsia="ru-RU"/>
        </w:rPr>
        <w:t xml:space="preserve"> </w:t>
      </w:r>
      <w:r w:rsidR="00265A81">
        <w:rPr>
          <w:rFonts w:eastAsia="Times New Roman"/>
          <w:b/>
          <w:bCs/>
          <w:color w:val="000000"/>
          <w:lang w:eastAsia="ru-RU"/>
        </w:rPr>
        <w:t>202</w:t>
      </w:r>
      <w:r w:rsidR="00A43D15">
        <w:rPr>
          <w:rFonts w:eastAsia="Times New Roman"/>
          <w:b/>
          <w:bCs/>
          <w:color w:val="000000"/>
          <w:lang w:eastAsia="ru-RU"/>
        </w:rPr>
        <w:t>2</w:t>
      </w:r>
      <w:r w:rsidR="002550E9">
        <w:rPr>
          <w:rFonts w:eastAsia="Times New Roman"/>
          <w:b/>
          <w:bCs/>
          <w:color w:val="000000"/>
          <w:lang w:eastAsia="ru-RU"/>
        </w:rPr>
        <w:t xml:space="preserve"> г. № ИС-учет-</w:t>
      </w:r>
      <w:r>
        <w:rPr>
          <w:rFonts w:eastAsia="Times New Roman"/>
          <w:b/>
          <w:bCs/>
          <w:color w:val="000000"/>
          <w:lang w:eastAsia="ru-RU"/>
        </w:rPr>
        <w:t>37</w:t>
      </w:r>
    </w:p>
    <w:p w14:paraId="3FD8AAB9" w14:textId="77777777" w:rsidR="00F77EC6" w:rsidRDefault="00F77EC6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</w:p>
    <w:p w14:paraId="761A4EAD" w14:textId="77777777" w:rsidR="007B7354" w:rsidRDefault="007B7354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  <w:r>
        <w:rPr>
          <w:b/>
        </w:rPr>
        <w:t>Особенности раскрытия бухгалтерской (финансовой) отчетности организаций и иной информации в 2022 г.</w:t>
      </w:r>
    </w:p>
    <w:p w14:paraId="6A492A06" w14:textId="77777777" w:rsidR="004F1EE6" w:rsidRDefault="004F1EE6" w:rsidP="00AA2B3C">
      <w:pPr>
        <w:shd w:val="clear" w:color="auto" w:fill="FFFFFF"/>
        <w:spacing w:line="300" w:lineRule="atLeast"/>
        <w:ind w:firstLine="0"/>
        <w:jc w:val="center"/>
        <w:rPr>
          <w:b/>
        </w:rPr>
      </w:pPr>
    </w:p>
    <w:p w14:paraId="13DE06AB" w14:textId="77777777" w:rsidR="009B761E" w:rsidRDefault="007B7354" w:rsidP="009B761E">
      <w:pPr>
        <w:shd w:val="clear" w:color="auto" w:fill="FFFFFF"/>
        <w:spacing w:line="300" w:lineRule="atLeast"/>
        <w:ind w:firstLine="0"/>
        <w:jc w:val="center"/>
      </w:pPr>
      <w:r>
        <w:rPr>
          <w:b/>
          <w:shd w:val="clear" w:color="auto" w:fill="FFFFFF"/>
        </w:rPr>
        <w:t>Введен</w:t>
      </w:r>
      <w:r w:rsidR="009B761E">
        <w:rPr>
          <w:b/>
          <w:shd w:val="clear" w:color="auto" w:fill="FFFFFF"/>
        </w:rPr>
        <w:t xml:space="preserve"> </w:t>
      </w:r>
      <w:r w:rsidR="005647C8">
        <w:rPr>
          <w:b/>
          <w:shd w:val="clear" w:color="auto" w:fill="FFFFFF"/>
        </w:rPr>
        <w:t>временный</w:t>
      </w:r>
      <w:r w:rsidR="009B761E">
        <w:rPr>
          <w:b/>
          <w:shd w:val="clear" w:color="auto" w:fill="FFFFFF"/>
        </w:rPr>
        <w:t xml:space="preserve"> порядок доступа к ГИРБО</w:t>
      </w:r>
    </w:p>
    <w:p w14:paraId="47B28378" w14:textId="77777777" w:rsidR="00531822" w:rsidRDefault="00531822" w:rsidP="00F155E9">
      <w:pPr>
        <w:pStyle w:val="ListParagraph"/>
        <w:ind w:left="0" w:firstLine="709"/>
      </w:pPr>
    </w:p>
    <w:p w14:paraId="266A7906" w14:textId="77777777" w:rsidR="006F52A6" w:rsidRDefault="00A56356" w:rsidP="00F155E9">
      <w:pPr>
        <w:pStyle w:val="ListParagraph"/>
        <w:ind w:left="0" w:firstLine="709"/>
      </w:pPr>
      <w:r>
        <w:t>В соответствии со статьей 18 Федерального закона «О бухгалтерском учете» ФНС России формирует и ведет государственный информационный ресурс бухгалтерской (финансовой) отчетности (ГИРБО)</w:t>
      </w:r>
      <w:r>
        <w:rPr>
          <w:rStyle w:val="FootnoteReference"/>
        </w:rPr>
        <w:footnoteReference w:id="1"/>
      </w:r>
      <w:r>
        <w:rPr>
          <w:lang w:eastAsia="ru-RU"/>
        </w:rPr>
        <w:t xml:space="preserve">. Этот ресурс представляет собой совокупность бухгалтерской отчетности экономических субъектов, обязанных составлять такую отчетность, а также аудиторских заключений о ней </w:t>
      </w:r>
      <w:r w:rsidR="006F52A6">
        <w:rPr>
          <w:lang w:eastAsia="ru-RU"/>
        </w:rPr>
        <w:t>(</w:t>
      </w:r>
      <w:r>
        <w:rPr>
          <w:lang w:eastAsia="ru-RU"/>
        </w:rPr>
        <w:t>в случаях, если отчетность подлежит обязательному аудиту</w:t>
      </w:r>
      <w:r w:rsidR="006F52A6">
        <w:rPr>
          <w:lang w:eastAsia="ru-RU"/>
        </w:rPr>
        <w:t>)</w:t>
      </w:r>
      <w:r>
        <w:rPr>
          <w:lang w:eastAsia="ru-RU"/>
        </w:rPr>
        <w:t xml:space="preserve">. </w:t>
      </w:r>
      <w:r w:rsidR="006F52A6">
        <w:rPr>
          <w:lang w:eastAsia="ru-RU"/>
        </w:rPr>
        <w:t xml:space="preserve">Заинтересованным лицам </w:t>
      </w:r>
      <w:r w:rsidR="006F52A6">
        <w:t xml:space="preserve">обеспечивается доступ к информации, содержащейся в ГИРБО. </w:t>
      </w:r>
    </w:p>
    <w:p w14:paraId="5DB19A45" w14:textId="77777777" w:rsidR="00470A9B" w:rsidRDefault="009B761E" w:rsidP="00F155E9">
      <w:pPr>
        <w:pStyle w:val="ListParagraph"/>
        <w:ind w:left="0" w:firstLine="709"/>
      </w:pPr>
      <w:r>
        <w:t xml:space="preserve">Постановлением Правительства Российской Федерации от 18 марта 2022 г. № 395 </w:t>
      </w:r>
      <w:r w:rsidR="00BB1874">
        <w:t>«Об особенностях доступа к информации, содержащейся в государственном информационном ресурсе бухгалтерской (финансовой) отчетности, и раскрыти</w:t>
      </w:r>
      <w:r w:rsidR="00AA7723">
        <w:t>я</w:t>
      </w:r>
      <w:r w:rsidR="00BB1874">
        <w:t xml:space="preserve"> консолидированной финансовой отчетности в 2022 году»</w:t>
      </w:r>
      <w:r>
        <w:t xml:space="preserve"> на 2022 г. установлен </w:t>
      </w:r>
      <w:r w:rsidR="00640D77">
        <w:t>особый</w:t>
      </w:r>
      <w:r>
        <w:t xml:space="preserve"> порядок обеспечения доступа к информации, содержащейся в ГИРБО, ФНС России заинтересованным лицам</w:t>
      </w:r>
      <w:r w:rsidR="00640D77">
        <w:t xml:space="preserve">. В 2022 г. ФНС России обеспечивает доступ ко всей информации, содержащейся в ГИРБО, </w:t>
      </w:r>
      <w:r w:rsidR="00640D77" w:rsidRPr="00D03540">
        <w:t>орган</w:t>
      </w:r>
      <w:r w:rsidR="00640D77">
        <w:t>ам</w:t>
      </w:r>
      <w:r w:rsidR="00640D77" w:rsidRPr="00D03540">
        <w:t xml:space="preserve"> государственной власти, ины</w:t>
      </w:r>
      <w:r w:rsidR="00640D77">
        <w:t>м</w:t>
      </w:r>
      <w:r w:rsidR="00640D77" w:rsidRPr="00D03540">
        <w:t xml:space="preserve"> государственн</w:t>
      </w:r>
      <w:r w:rsidR="00640D77">
        <w:t>ым</w:t>
      </w:r>
      <w:r w:rsidR="00640D77" w:rsidRPr="00D03540">
        <w:t xml:space="preserve"> орган</w:t>
      </w:r>
      <w:r w:rsidR="00640D77">
        <w:t>ам</w:t>
      </w:r>
      <w:r w:rsidR="00640D77" w:rsidRPr="00D03540">
        <w:t>, орган</w:t>
      </w:r>
      <w:r w:rsidR="00640D77">
        <w:t>ам</w:t>
      </w:r>
      <w:r w:rsidR="00640D77" w:rsidRPr="00D03540">
        <w:t xml:space="preserve"> местного самоуправления, государственны</w:t>
      </w:r>
      <w:r w:rsidR="00640D77">
        <w:t>м</w:t>
      </w:r>
      <w:r w:rsidR="00640D77" w:rsidRPr="00D03540">
        <w:t xml:space="preserve"> внебюджетны</w:t>
      </w:r>
      <w:r w:rsidR="00640D77">
        <w:t>м</w:t>
      </w:r>
      <w:r w:rsidR="00640D77" w:rsidRPr="00D03540">
        <w:t xml:space="preserve"> фонд</w:t>
      </w:r>
      <w:r w:rsidR="00640D77">
        <w:t>ам,</w:t>
      </w:r>
      <w:r w:rsidR="00640D77" w:rsidRPr="00D03540">
        <w:t xml:space="preserve"> </w:t>
      </w:r>
      <w:r w:rsidR="00640D77">
        <w:t xml:space="preserve">Банку России. </w:t>
      </w:r>
    </w:p>
    <w:p w14:paraId="017820A9" w14:textId="77777777" w:rsidR="009B761E" w:rsidRDefault="00640D77" w:rsidP="00F155E9">
      <w:pPr>
        <w:pStyle w:val="ListParagraph"/>
        <w:ind w:left="0" w:firstLine="709"/>
      </w:pPr>
      <w:r>
        <w:t xml:space="preserve">Что касается доступа </w:t>
      </w:r>
      <w:r w:rsidR="00017CC4">
        <w:t xml:space="preserve">к указанной информации </w:t>
      </w:r>
      <w:r w:rsidR="0037046C" w:rsidRPr="0037046C">
        <w:t xml:space="preserve">лиц, </w:t>
      </w:r>
      <w:r w:rsidR="0037046C">
        <w:t>не являющихся</w:t>
      </w:r>
      <w:r w:rsidR="0037046C" w:rsidRPr="0037046C">
        <w:t xml:space="preserve"> орган</w:t>
      </w:r>
      <w:r w:rsidR="0037046C">
        <w:t>ами</w:t>
      </w:r>
      <w:r w:rsidR="0037046C" w:rsidRPr="0037046C">
        <w:t xml:space="preserve"> государственной власти, ины</w:t>
      </w:r>
      <w:r w:rsidR="0037046C">
        <w:t>ми</w:t>
      </w:r>
      <w:r w:rsidR="0037046C" w:rsidRPr="0037046C">
        <w:t xml:space="preserve"> государственны</w:t>
      </w:r>
      <w:r w:rsidR="0037046C">
        <w:t>ми</w:t>
      </w:r>
      <w:r w:rsidR="0037046C" w:rsidRPr="0037046C">
        <w:t xml:space="preserve"> орган</w:t>
      </w:r>
      <w:r w:rsidR="0037046C">
        <w:t>ами</w:t>
      </w:r>
      <w:r w:rsidR="0037046C" w:rsidRPr="0037046C">
        <w:t>, орган</w:t>
      </w:r>
      <w:r w:rsidR="0037046C">
        <w:t>ами</w:t>
      </w:r>
      <w:r w:rsidR="0037046C" w:rsidRPr="0037046C">
        <w:t xml:space="preserve"> местного самоуправления, государственны</w:t>
      </w:r>
      <w:r w:rsidR="0037046C">
        <w:t>ми</w:t>
      </w:r>
      <w:r w:rsidR="0037046C" w:rsidRPr="0037046C">
        <w:t xml:space="preserve"> внебюджетны</w:t>
      </w:r>
      <w:r w:rsidR="0037046C">
        <w:t>ми</w:t>
      </w:r>
      <w:r w:rsidR="0037046C" w:rsidRPr="0037046C">
        <w:t xml:space="preserve"> фонд</w:t>
      </w:r>
      <w:r w:rsidR="0037046C">
        <w:t>ами</w:t>
      </w:r>
      <w:r w:rsidR="0037046C" w:rsidRPr="0037046C">
        <w:t>, Банк</w:t>
      </w:r>
      <w:r w:rsidR="0037046C">
        <w:t>ом</w:t>
      </w:r>
      <w:r w:rsidR="0037046C" w:rsidRPr="0037046C">
        <w:t xml:space="preserve"> России</w:t>
      </w:r>
      <w:r w:rsidR="0037046C">
        <w:t xml:space="preserve"> (далее - </w:t>
      </w:r>
      <w:r>
        <w:t>ины</w:t>
      </w:r>
      <w:r w:rsidR="0037046C">
        <w:t>е</w:t>
      </w:r>
      <w:r>
        <w:t xml:space="preserve"> лиц</w:t>
      </w:r>
      <w:r w:rsidR="0037046C">
        <w:t>а)</w:t>
      </w:r>
      <w:r>
        <w:t>, то организация, обязанная представить годовую бухгалтерскую отчетность за 2021 г. в ГИРБО, вправе выбрать любую из следующих схем</w:t>
      </w:r>
      <w:r w:rsidR="009B761E">
        <w:t>:</w:t>
      </w:r>
    </w:p>
    <w:p w14:paraId="7889B3D4" w14:textId="77777777" w:rsidR="00640D77" w:rsidRDefault="00640D77" w:rsidP="00F155E9">
      <w:pPr>
        <w:pStyle w:val="ListParagraph"/>
        <w:ind w:left="0" w:firstLine="709"/>
      </w:pPr>
      <w:r>
        <w:t>1) ограничить полностью доступ</w:t>
      </w:r>
      <w:r w:rsidR="00475DAF" w:rsidRPr="00475DAF">
        <w:t xml:space="preserve"> </w:t>
      </w:r>
      <w:r w:rsidR="00475DAF">
        <w:t>иных лиц</w:t>
      </w:r>
      <w:r>
        <w:t xml:space="preserve"> к своей бухгалтерской отчетности, содержащейся в ГИРБО;</w:t>
      </w:r>
    </w:p>
    <w:p w14:paraId="55C4D44F" w14:textId="77777777" w:rsidR="00640D77" w:rsidRDefault="00640D77" w:rsidP="00F155E9">
      <w:pPr>
        <w:pStyle w:val="ListParagraph"/>
        <w:ind w:left="0" w:firstLine="709"/>
      </w:pPr>
      <w:r>
        <w:t>2) ограничить частично доступ</w:t>
      </w:r>
      <w:r w:rsidR="00475DAF">
        <w:t xml:space="preserve"> иных лиц</w:t>
      </w:r>
      <w:r>
        <w:t xml:space="preserve"> к своей бухгалтерской отчетности, содержащейся в ГИРБО.</w:t>
      </w:r>
    </w:p>
    <w:p w14:paraId="7B11CFA9" w14:textId="77777777" w:rsidR="00470A9B" w:rsidRDefault="00470A9B" w:rsidP="00F155E9">
      <w:pPr>
        <w:pStyle w:val="ListParagraph"/>
        <w:ind w:left="0" w:firstLine="709"/>
      </w:pPr>
      <w:r>
        <w:t>Выбор схемы ограничения доступа к информации, содержащейся в ГИРБО, осуществляется каждой организацией самостоятельно исходя из конкретных условий деятельности, рисков раскрытия информации, в частности, риска введения мер ограничительного характера со стороны иностранных государств, и (или) государственных объединений, и (или) союзов, и (или) государственных (межгосударственных) учреждений иностранных государств или государственных объединений и (или) союзов в отношении этой организации и (или) иных лиц.</w:t>
      </w:r>
    </w:p>
    <w:p w14:paraId="755874FC" w14:textId="77777777" w:rsidR="00470A9B" w:rsidRDefault="00470A9B" w:rsidP="00F155E9">
      <w:pPr>
        <w:pStyle w:val="ListParagraph"/>
        <w:ind w:left="0" w:firstLine="709"/>
      </w:pPr>
      <w:r>
        <w:t xml:space="preserve">При любой схеме доступ </w:t>
      </w:r>
      <w:r w:rsidR="00475DAF">
        <w:t xml:space="preserve">иных лиц </w:t>
      </w:r>
      <w:r>
        <w:t>ограничивается к соответствующей информации, содержащейся в ГИРБО, за все годы, начиная с отчетности за 2019 г.</w:t>
      </w:r>
      <w:r w:rsidR="00AA7723">
        <w:t xml:space="preserve"> (возможность ограничения доступа к отчетности за отдельные годы не предусмотрена).</w:t>
      </w:r>
    </w:p>
    <w:p w14:paraId="5D8CEBA5" w14:textId="77777777" w:rsidR="00470A9B" w:rsidRDefault="00470A9B" w:rsidP="00470A9B">
      <w:pPr>
        <w:pStyle w:val="ListParagraph"/>
        <w:ind w:left="0" w:firstLine="709"/>
      </w:pPr>
      <w:r>
        <w:t>Ограничение (полное и частичное) доступа к информации, содержащейся в ГИРБО, не изменяет:</w:t>
      </w:r>
    </w:p>
    <w:p w14:paraId="0238FBC7" w14:textId="77777777" w:rsidR="00BF7CB7" w:rsidRDefault="00BF7CB7" w:rsidP="00470A9B">
      <w:pPr>
        <w:pStyle w:val="ListParagraph"/>
        <w:ind w:left="0" w:firstLine="709"/>
      </w:pPr>
      <w:r>
        <w:t>обязанность всех организаций</w:t>
      </w:r>
      <w:r w:rsidRPr="00BF7CB7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составить годовую бухгалтерскую отчетность за 2021 г.;</w:t>
      </w:r>
    </w:p>
    <w:p w14:paraId="5F1FA4CF" w14:textId="77777777" w:rsidR="00470A9B" w:rsidRDefault="00470A9B" w:rsidP="00470A9B">
      <w:pPr>
        <w:pStyle w:val="ListParagraph"/>
        <w:ind w:left="0" w:firstLine="709"/>
        <w:rPr>
          <w:lang w:eastAsia="ru-RU"/>
        </w:rPr>
      </w:pPr>
      <w:r>
        <w:t xml:space="preserve">обязанность всех организаций (за </w:t>
      </w:r>
      <w:r w:rsidR="00BF7CB7">
        <w:t>исключением указанных в</w:t>
      </w:r>
      <w:r>
        <w:rPr>
          <w:shd w:val="clear" w:color="auto" w:fill="FFFFFF"/>
        </w:rPr>
        <w:t xml:space="preserve"> част</w:t>
      </w:r>
      <w:r w:rsidR="00BF7CB7">
        <w:rPr>
          <w:shd w:val="clear" w:color="auto" w:fill="FFFFFF"/>
        </w:rPr>
        <w:t>и</w:t>
      </w:r>
      <w:r>
        <w:rPr>
          <w:shd w:val="clear" w:color="auto" w:fill="FFFFFF"/>
        </w:rPr>
        <w:t xml:space="preserve"> 4 статьи 18 Федерального закона «О бухгалтерском учете») представить один экземпляр </w:t>
      </w:r>
      <w:r w:rsidR="00BF7CB7">
        <w:rPr>
          <w:shd w:val="clear" w:color="auto" w:fill="FFFFFF"/>
        </w:rPr>
        <w:t>годовой бухгалтерской отчетности за 2021 г.</w:t>
      </w:r>
      <w:r>
        <w:rPr>
          <w:lang w:eastAsia="ru-RU"/>
        </w:rPr>
        <w:t xml:space="preserve"> в налоговый орган с целью формирования ГИРБО. Отчетность представляется в полном составе, в установленные сроки и порядке;</w:t>
      </w:r>
    </w:p>
    <w:p w14:paraId="5C0276C9" w14:textId="77777777" w:rsidR="00470A9B" w:rsidRDefault="00470A9B" w:rsidP="00470A9B">
      <w:pPr>
        <w:pStyle w:val="ListParagraph"/>
        <w:ind w:left="0" w:firstLine="709"/>
        <w:rPr>
          <w:rFonts w:eastAsia="Calibri"/>
          <w:bCs/>
          <w:color w:val="000000" w:themeColor="text1"/>
        </w:rPr>
      </w:pPr>
      <w:r>
        <w:rPr>
          <w:lang w:eastAsia="ru-RU"/>
        </w:rPr>
        <w:t xml:space="preserve">обязанность организаций, </w:t>
      </w:r>
      <w:r w:rsidRPr="00743160">
        <w:t>раскры</w:t>
      </w:r>
      <w:r>
        <w:t>вающих</w:t>
      </w:r>
      <w:r w:rsidRPr="007E45D1">
        <w:t xml:space="preserve"> </w:t>
      </w:r>
      <w:r>
        <w:t xml:space="preserve">свою бухгалтерскую отчетность в силу требований федеральных законов </w:t>
      </w:r>
      <w:r w:rsidRPr="00743160">
        <w:t xml:space="preserve">в </w:t>
      </w:r>
      <w:r>
        <w:t>СМИ,</w:t>
      </w:r>
      <w:r w:rsidRPr="00E36F62">
        <w:rPr>
          <w:rFonts w:eastAsia="Calibri"/>
          <w:bCs/>
          <w:color w:val="000000" w:themeColor="text1"/>
        </w:rPr>
        <w:t xml:space="preserve"> вн</w:t>
      </w:r>
      <w:r>
        <w:rPr>
          <w:rFonts w:eastAsia="Calibri"/>
          <w:bCs/>
          <w:color w:val="000000" w:themeColor="text1"/>
        </w:rPr>
        <w:t>ести</w:t>
      </w:r>
      <w:r w:rsidRPr="00E36F62">
        <w:rPr>
          <w:rFonts w:eastAsia="Calibri"/>
          <w:bCs/>
          <w:color w:val="000000" w:themeColor="text1"/>
        </w:rPr>
        <w:t xml:space="preserve"> сведения о</w:t>
      </w:r>
      <w:r>
        <w:rPr>
          <w:rFonts w:eastAsia="Calibri"/>
          <w:bCs/>
          <w:color w:val="000000" w:themeColor="text1"/>
        </w:rPr>
        <w:t>б</w:t>
      </w:r>
      <w:r>
        <w:t xml:space="preserve"> отчетности и результатах обязательного аудита ее</w:t>
      </w:r>
      <w:r w:rsidRPr="00E36F62">
        <w:rPr>
          <w:rFonts w:eastAsia="Calibri"/>
          <w:bCs/>
          <w:color w:val="000000" w:themeColor="text1"/>
        </w:rPr>
        <w:t xml:space="preserve"> в Единый федеральный реестр сведений о фактах деятельности юридических лиц</w:t>
      </w:r>
      <w:r>
        <w:rPr>
          <w:rFonts w:eastAsia="Calibri"/>
          <w:bCs/>
          <w:color w:val="000000" w:themeColor="text1"/>
        </w:rPr>
        <w:t xml:space="preserve">. Состав, сроки и порядок внесения таких сведений в федеральный реестр, а также условия, при которых сведения, содержащиеся в нем, не подлежат размещению в Интернете, установлены </w:t>
      </w:r>
      <w:r w:rsidRPr="00E36F62">
        <w:rPr>
          <w:rFonts w:eastAsia="Calibri"/>
          <w:bCs/>
          <w:color w:val="000000" w:themeColor="text1"/>
        </w:rPr>
        <w:t>Федеральным законом «О государственной регистрации юридических лиц и индивидуальных предпринимателей»</w:t>
      </w:r>
      <w:r>
        <w:rPr>
          <w:rStyle w:val="FootnoteReference"/>
          <w:rFonts w:eastAsia="Calibri"/>
          <w:bCs/>
          <w:color w:val="000000" w:themeColor="text1"/>
        </w:rPr>
        <w:footnoteReference w:id="2"/>
      </w:r>
      <w:r>
        <w:rPr>
          <w:rFonts w:eastAsia="Calibri"/>
          <w:bCs/>
          <w:color w:val="000000" w:themeColor="text1"/>
        </w:rPr>
        <w:t>;</w:t>
      </w:r>
    </w:p>
    <w:p w14:paraId="6593E8D7" w14:textId="77777777" w:rsidR="00470A9B" w:rsidRDefault="00470A9B" w:rsidP="00470A9B">
      <w:pPr>
        <w:pStyle w:val="ListParagraph"/>
        <w:ind w:left="0" w:firstLine="709"/>
      </w:pPr>
      <w:r>
        <w:rPr>
          <w:rFonts w:eastAsia="Calibri"/>
          <w:bCs/>
          <w:color w:val="000000" w:themeColor="text1"/>
        </w:rPr>
        <w:t xml:space="preserve">обязанность организаций, определенных федеральными законами или в соответствии с </w:t>
      </w:r>
      <w:r w:rsidR="008D799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ними, </w:t>
      </w:r>
      <w:r w:rsidR="008D799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провести</w:t>
      </w:r>
      <w:r w:rsidR="008D799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 аудит</w:t>
      </w:r>
      <w:r w:rsidR="008D799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 xml:space="preserve"> годовой </w:t>
      </w:r>
      <w:r w:rsidR="008D799A">
        <w:rPr>
          <w:rFonts w:eastAsia="Calibri"/>
          <w:bCs/>
          <w:color w:val="000000" w:themeColor="text1"/>
        </w:rPr>
        <w:t xml:space="preserve"> </w:t>
      </w:r>
      <w:r>
        <w:rPr>
          <w:rFonts w:eastAsia="Calibri"/>
          <w:bCs/>
          <w:color w:val="000000" w:themeColor="text1"/>
        </w:rPr>
        <w:t>бухгалтерской отчетности за 2021 г.</w:t>
      </w:r>
      <w:r>
        <w:rPr>
          <w:rStyle w:val="FootnoteReference"/>
          <w:rFonts w:eastAsia="Calibri"/>
          <w:bCs/>
          <w:color w:val="000000" w:themeColor="text1"/>
        </w:rPr>
        <w:footnoteReference w:id="3"/>
      </w:r>
      <w:r>
        <w:rPr>
          <w:rFonts w:eastAsia="Calibri"/>
          <w:bCs/>
          <w:color w:val="000000" w:themeColor="text1"/>
        </w:rPr>
        <w:t xml:space="preserve"> и представить</w:t>
      </w:r>
      <w:r w:rsidRPr="00D74060">
        <w:rPr>
          <w:shd w:val="clear" w:color="auto" w:fill="FFFFFF"/>
        </w:rPr>
        <w:t xml:space="preserve"> </w:t>
      </w:r>
      <w:r>
        <w:rPr>
          <w:shd w:val="clear" w:color="auto" w:fill="FFFFFF"/>
        </w:rPr>
        <w:t>аудиторское заключение о ней</w:t>
      </w:r>
      <w:r>
        <w:rPr>
          <w:rFonts w:eastAsia="Calibri"/>
          <w:bCs/>
          <w:color w:val="000000" w:themeColor="text1"/>
        </w:rPr>
        <w:t xml:space="preserve"> </w:t>
      </w:r>
      <w:r>
        <w:rPr>
          <w:lang w:eastAsia="ru-RU"/>
        </w:rPr>
        <w:t>в налоговый орган с целью формирования ГИРБО</w:t>
      </w:r>
      <w:r>
        <w:rPr>
          <w:rFonts w:eastAsia="Calibri"/>
          <w:bCs/>
          <w:color w:val="000000" w:themeColor="text1"/>
        </w:rPr>
        <w:t>.</w:t>
      </w:r>
    </w:p>
    <w:p w14:paraId="7658688D" w14:textId="77777777" w:rsidR="00640D77" w:rsidRPr="00640D77" w:rsidRDefault="00640D77" w:rsidP="00F155E9">
      <w:pPr>
        <w:pStyle w:val="ListParagraph"/>
        <w:ind w:left="0" w:firstLine="709"/>
        <w:rPr>
          <w:u w:val="single"/>
        </w:rPr>
      </w:pPr>
      <w:r w:rsidRPr="00640D77">
        <w:rPr>
          <w:u w:val="single"/>
        </w:rPr>
        <w:t xml:space="preserve">Ограничение полностью доступа </w:t>
      </w:r>
      <w:r w:rsidR="00475DAF">
        <w:rPr>
          <w:u w:val="single"/>
        </w:rPr>
        <w:t xml:space="preserve">иных лиц </w:t>
      </w:r>
      <w:r w:rsidRPr="00640D77">
        <w:rPr>
          <w:u w:val="single"/>
        </w:rPr>
        <w:t>к бухгалтерской отчетности, содержащейся в ГИРБО</w:t>
      </w:r>
    </w:p>
    <w:p w14:paraId="38AFF15E" w14:textId="77777777" w:rsidR="00640D77" w:rsidRDefault="00C864F2" w:rsidP="00640D77">
      <w:pPr>
        <w:pStyle w:val="ListParagraph"/>
        <w:ind w:left="0" w:firstLine="709"/>
      </w:pPr>
      <w:r>
        <w:t xml:space="preserve">Для того, чтобы ФНС России ограничила полностью доступ </w:t>
      </w:r>
      <w:r w:rsidR="00475DAF">
        <w:t xml:space="preserve">иных лиц </w:t>
      </w:r>
      <w:r>
        <w:t xml:space="preserve">к </w:t>
      </w:r>
      <w:r w:rsidR="00AA7723">
        <w:t xml:space="preserve">содержащейся в ГИРБО </w:t>
      </w:r>
      <w:r>
        <w:t>бухгалтерской отчетности</w:t>
      </w:r>
      <w:r w:rsidR="00475DAF">
        <w:t xml:space="preserve"> организации</w:t>
      </w:r>
      <w:r>
        <w:t xml:space="preserve">, </w:t>
      </w:r>
      <w:r w:rsidR="00475DAF">
        <w:t xml:space="preserve">такая </w:t>
      </w:r>
      <w:r>
        <w:t>о</w:t>
      </w:r>
      <w:r w:rsidR="00640D77">
        <w:t xml:space="preserve">рганизация </w:t>
      </w:r>
      <w:r>
        <w:t>п</w:t>
      </w:r>
      <w:r w:rsidR="00640D77">
        <w:t>ода</w:t>
      </w:r>
      <w:r>
        <w:t>ет</w:t>
      </w:r>
      <w:r w:rsidR="00640D77">
        <w:t xml:space="preserve"> заявление об ограничении доступа к информации, содержащейся в ГИРБО. </w:t>
      </w:r>
      <w:r w:rsidR="00475DAF">
        <w:t>З</w:t>
      </w:r>
      <w:r w:rsidR="00640D77">
        <w:t xml:space="preserve">аявление подается в произвольной форме в ФНС России. В нем в обязательном порядке указываются </w:t>
      </w:r>
      <w:r w:rsidR="00017CC4">
        <w:t>ОГРН и ИНН организации</w:t>
      </w:r>
      <w:r w:rsidR="00640D77">
        <w:t>. На основании заявления ФНС России ограничивает доступ ко всей информации указанно</w:t>
      </w:r>
      <w:r>
        <w:t>й организации</w:t>
      </w:r>
      <w:r w:rsidR="00640D77">
        <w:t xml:space="preserve">, содержащейся в ГИРБО, всем лицам, за исключением </w:t>
      </w:r>
      <w:r w:rsidR="00640D77" w:rsidRPr="00D03540">
        <w:t>орган</w:t>
      </w:r>
      <w:r w:rsidR="00640D77">
        <w:t>ов</w:t>
      </w:r>
      <w:r w:rsidR="00640D77" w:rsidRPr="00D03540">
        <w:t xml:space="preserve"> государственной власти, ины</w:t>
      </w:r>
      <w:r w:rsidR="00640D77">
        <w:t>х</w:t>
      </w:r>
      <w:r w:rsidR="00640D77" w:rsidRPr="00D03540">
        <w:t xml:space="preserve"> государственн</w:t>
      </w:r>
      <w:r w:rsidR="00640D77">
        <w:t>ых</w:t>
      </w:r>
      <w:r w:rsidR="00640D77" w:rsidRPr="00D03540">
        <w:t xml:space="preserve"> орган</w:t>
      </w:r>
      <w:r w:rsidR="00640D77">
        <w:t>ов</w:t>
      </w:r>
      <w:r w:rsidR="00640D77" w:rsidRPr="00D03540">
        <w:t>, орган</w:t>
      </w:r>
      <w:r w:rsidR="00640D77">
        <w:t>ов</w:t>
      </w:r>
      <w:r w:rsidR="00640D77" w:rsidRPr="00D03540">
        <w:t xml:space="preserve"> местного самоуправления, государственны</w:t>
      </w:r>
      <w:r w:rsidR="00640D77">
        <w:t>х</w:t>
      </w:r>
      <w:r w:rsidR="00640D77" w:rsidRPr="00D03540">
        <w:t xml:space="preserve"> внебюджетны</w:t>
      </w:r>
      <w:r w:rsidR="00640D77">
        <w:t>х</w:t>
      </w:r>
      <w:r w:rsidR="00640D77" w:rsidRPr="00D03540">
        <w:t xml:space="preserve"> фонд</w:t>
      </w:r>
      <w:r w:rsidR="00640D77">
        <w:t>ов,</w:t>
      </w:r>
      <w:r w:rsidR="00640D77" w:rsidRPr="00D03540">
        <w:t xml:space="preserve"> </w:t>
      </w:r>
      <w:r w:rsidR="00640D77">
        <w:t>Банка России</w:t>
      </w:r>
      <w:r w:rsidR="00640D77">
        <w:rPr>
          <w:rStyle w:val="FootnoteReference"/>
        </w:rPr>
        <w:footnoteReference w:id="4"/>
      </w:r>
      <w:r w:rsidR="00640D77">
        <w:t xml:space="preserve">. </w:t>
      </w:r>
      <w:r w:rsidR="00400739">
        <w:t>В данном случае под содержащейся в ГИРБО информацией, доступ к которой ограничивается, понимается а</w:t>
      </w:r>
      <w:r w:rsidR="00400739" w:rsidRPr="00BF3460">
        <w:t>удиторск</w:t>
      </w:r>
      <w:r w:rsidR="00400739">
        <w:t>ое</w:t>
      </w:r>
      <w:r w:rsidR="00400739" w:rsidRPr="00BF3460">
        <w:t xml:space="preserve"> заключени</w:t>
      </w:r>
      <w:r w:rsidR="00400739">
        <w:t>е</w:t>
      </w:r>
      <w:r w:rsidR="00400739" w:rsidRPr="00BF3460">
        <w:t xml:space="preserve"> о бухгалтерской отчетности</w:t>
      </w:r>
      <w:r w:rsidR="00400739">
        <w:t xml:space="preserve"> организации и сама годовая бухгалтерская отчетность организации в составе:</w:t>
      </w:r>
    </w:p>
    <w:p w14:paraId="50CB7EA3" w14:textId="77777777" w:rsidR="00400739" w:rsidRDefault="00400739" w:rsidP="00640D77">
      <w:pPr>
        <w:pStyle w:val="ListParagraph"/>
        <w:ind w:left="0" w:firstLine="709"/>
      </w:pPr>
      <w:r>
        <w:t xml:space="preserve">бухгалтерский баланс, отчет о финансовых результатах, </w:t>
      </w:r>
      <w:r w:rsidR="00314E6B">
        <w:t>приложения к ним (</w:t>
      </w:r>
      <w:r>
        <w:t xml:space="preserve">отчет </w:t>
      </w:r>
      <w:r w:rsidRPr="00CA54E0">
        <w:t>об изменениях капитала</w:t>
      </w:r>
      <w:r>
        <w:t>, о</w:t>
      </w:r>
      <w:r w:rsidRPr="00CA54E0">
        <w:t>тчет о движении денежных средств</w:t>
      </w:r>
      <w:r>
        <w:t>,</w:t>
      </w:r>
      <w:r w:rsidRPr="00CA54E0">
        <w:t xml:space="preserve"> </w:t>
      </w:r>
      <w:r>
        <w:t>п</w:t>
      </w:r>
      <w:r w:rsidRPr="00BF3460">
        <w:t>ояснения к бухгалтерскому балансу и отчету о финансовых результатах</w:t>
      </w:r>
      <w:r w:rsidR="00314E6B">
        <w:t>)</w:t>
      </w:r>
      <w:r>
        <w:t xml:space="preserve"> коммерческой организации; </w:t>
      </w:r>
    </w:p>
    <w:p w14:paraId="29C604BD" w14:textId="77777777" w:rsidR="00400739" w:rsidRDefault="00400739" w:rsidP="00640D77">
      <w:pPr>
        <w:pStyle w:val="ListParagraph"/>
        <w:ind w:left="0" w:firstLine="709"/>
      </w:pPr>
      <w:r>
        <w:t>бухгалтерский баланс, отчет о целевом использовании средств,</w:t>
      </w:r>
      <w:r w:rsidRPr="00CA54E0">
        <w:t xml:space="preserve"> </w:t>
      </w:r>
      <w:r w:rsidR="00314E6B">
        <w:t>приложения к ним (отчет о финансовых результатах</w:t>
      </w:r>
      <w:r w:rsidR="00AA7723">
        <w:t xml:space="preserve"> и</w:t>
      </w:r>
      <w:r w:rsidR="00314E6B">
        <w:t xml:space="preserve"> о</w:t>
      </w:r>
      <w:r w:rsidR="00314E6B" w:rsidRPr="00CA54E0">
        <w:t>тчет о движении денежных средств</w:t>
      </w:r>
      <w:r w:rsidR="00AA7723">
        <w:t xml:space="preserve"> (при наличии в ГИРБО)</w:t>
      </w:r>
      <w:r w:rsidR="00314E6B">
        <w:t>,</w:t>
      </w:r>
      <w:r w:rsidR="00314E6B" w:rsidRPr="00CA54E0">
        <w:t xml:space="preserve"> </w:t>
      </w:r>
      <w:r>
        <w:t>п</w:t>
      </w:r>
      <w:r w:rsidRPr="00BF3460">
        <w:t xml:space="preserve">ояснения к бухгалтерскому балансу и отчету о </w:t>
      </w:r>
      <w:r>
        <w:t>целевом использовании средств</w:t>
      </w:r>
      <w:r w:rsidR="00314E6B">
        <w:t>)</w:t>
      </w:r>
      <w:r>
        <w:t xml:space="preserve"> некоммерческой организации.</w:t>
      </w:r>
    </w:p>
    <w:p w14:paraId="2CB0921D" w14:textId="77777777" w:rsidR="00640D77" w:rsidRDefault="00640D77" w:rsidP="00640D77">
      <w:pPr>
        <w:pStyle w:val="ListParagraph"/>
        <w:ind w:left="0" w:firstLine="709"/>
      </w:pPr>
      <w:r>
        <w:t>В случае, когда доступ к отчетности ограничен по заявлению</w:t>
      </w:r>
      <w:r w:rsidRPr="00D74060">
        <w:t xml:space="preserve"> </w:t>
      </w:r>
      <w:r>
        <w:t xml:space="preserve">организации, ФНС России возобновляет доступ к </w:t>
      </w:r>
      <w:r w:rsidR="00475DAF">
        <w:t xml:space="preserve">этой </w:t>
      </w:r>
      <w:r>
        <w:t>отчетности на основании нового заявления этой организации, подаваемого также в произвольной форме.</w:t>
      </w:r>
    </w:p>
    <w:p w14:paraId="0CE23901" w14:textId="77777777" w:rsidR="00640D77" w:rsidRDefault="00640D77" w:rsidP="00640D77">
      <w:pPr>
        <w:pStyle w:val="ListParagraph"/>
        <w:ind w:left="0" w:firstLine="709"/>
      </w:pPr>
      <w:r>
        <w:t>Поскольку годовая бухгалтерская отчетность организаций, представляющих такую отчетность в Банк России, переда</w:t>
      </w:r>
      <w:r w:rsidR="00017CC4">
        <w:t>е</w:t>
      </w:r>
      <w:r>
        <w:t>тся в ФНС России для включения в ГИРБО Банком России централизованно, эти организации освобождены от необходимости подавать заявления в ФНС России.</w:t>
      </w:r>
      <w:r w:rsidR="003E778A">
        <w:t xml:space="preserve"> Ограничение доступа к их бухгалтерской отчетности, включенной в ГИРБО, осуществляется ФНС России </w:t>
      </w:r>
      <w:r w:rsidR="006E4F96">
        <w:t>совместно</w:t>
      </w:r>
      <w:r w:rsidR="003E778A">
        <w:t xml:space="preserve"> с Банком России.</w:t>
      </w:r>
    </w:p>
    <w:p w14:paraId="5DB1A65D" w14:textId="77777777" w:rsidR="00C864F2" w:rsidRDefault="00C864F2" w:rsidP="00640D77">
      <w:pPr>
        <w:pStyle w:val="ListParagraph"/>
        <w:ind w:left="0" w:firstLine="709"/>
      </w:pPr>
      <w:r w:rsidRPr="00640D77">
        <w:rPr>
          <w:u w:val="single"/>
        </w:rPr>
        <w:t xml:space="preserve">Ограничение </w:t>
      </w:r>
      <w:r>
        <w:rPr>
          <w:u w:val="single"/>
        </w:rPr>
        <w:t>частично</w:t>
      </w:r>
      <w:r w:rsidRPr="00640D77">
        <w:rPr>
          <w:u w:val="single"/>
        </w:rPr>
        <w:t xml:space="preserve"> доступа </w:t>
      </w:r>
      <w:r w:rsidR="00475DAF">
        <w:rPr>
          <w:u w:val="single"/>
        </w:rPr>
        <w:t xml:space="preserve">иных лиц </w:t>
      </w:r>
      <w:r w:rsidRPr="00640D77">
        <w:rPr>
          <w:u w:val="single"/>
        </w:rPr>
        <w:t>к бухгалтерской отчетности, содержащейся в ГИРБО</w:t>
      </w:r>
    </w:p>
    <w:p w14:paraId="0348372C" w14:textId="77777777" w:rsidR="00C864F2" w:rsidRDefault="00C864F2" w:rsidP="00C864F2">
      <w:pPr>
        <w:pStyle w:val="ListParagraph"/>
        <w:ind w:left="0" w:firstLine="709"/>
      </w:pPr>
      <w:r>
        <w:t xml:space="preserve">При частичном ограничении доступа к бухгалтерской отчетности, содержащейся в ГИРБО, иные лица </w:t>
      </w:r>
      <w:r w:rsidR="003E778A">
        <w:t>не имеют доступа к п</w:t>
      </w:r>
      <w:r w:rsidR="003E778A" w:rsidRPr="00BF3460">
        <w:t>ояснения</w:t>
      </w:r>
      <w:r w:rsidR="003E778A">
        <w:t>м</w:t>
      </w:r>
      <w:r w:rsidR="003E778A" w:rsidRPr="00BF3460">
        <w:t xml:space="preserve"> к бухгалтерскому балансу и отчету о финансовых результатах</w:t>
      </w:r>
      <w:r w:rsidR="00FC56AD">
        <w:t xml:space="preserve"> (пояснениям к бухгалтерскому балансу и отчету о целевом использовании средств)</w:t>
      </w:r>
      <w:r w:rsidR="003E778A" w:rsidRPr="00BF3460">
        <w:t xml:space="preserve"> </w:t>
      </w:r>
      <w:r w:rsidR="003E778A">
        <w:t>и а</w:t>
      </w:r>
      <w:r w:rsidR="003E778A" w:rsidRPr="00BF3460">
        <w:t>удиторск</w:t>
      </w:r>
      <w:r w:rsidR="003E778A">
        <w:t>им</w:t>
      </w:r>
      <w:r w:rsidR="003E778A" w:rsidRPr="00BF3460">
        <w:t xml:space="preserve"> заключени</w:t>
      </w:r>
      <w:r w:rsidR="003E778A">
        <w:t>ям</w:t>
      </w:r>
      <w:r w:rsidR="003E778A" w:rsidRPr="00BF3460">
        <w:t xml:space="preserve"> о бухгалтерской отчетности</w:t>
      </w:r>
      <w:r w:rsidR="003E778A">
        <w:t xml:space="preserve"> организаций.</w:t>
      </w:r>
      <w:r w:rsidR="00CA54E0" w:rsidRPr="00CA54E0">
        <w:t xml:space="preserve"> </w:t>
      </w:r>
      <w:r w:rsidR="00400739">
        <w:t>Для это</w:t>
      </w:r>
      <w:r w:rsidR="001816B7">
        <w:t>й</w:t>
      </w:r>
      <w:r w:rsidR="00400739">
        <w:t xml:space="preserve"> с</w:t>
      </w:r>
      <w:r w:rsidR="001816B7">
        <w:t>хемы</w:t>
      </w:r>
      <w:r w:rsidR="00400739">
        <w:t xml:space="preserve"> по</w:t>
      </w:r>
      <w:r w:rsidR="00CA54E0">
        <w:t>становлением Правительства Российской Федерации не предусмотрена возможность ограничивать доступ иных лиц</w:t>
      </w:r>
      <w:r w:rsidR="001816B7">
        <w:t xml:space="preserve"> (в том числе по заявлению организации, составившей бухгалтерскую отчетность)</w:t>
      </w:r>
      <w:r w:rsidR="00CA54E0">
        <w:t xml:space="preserve"> к бухгалтерскому балансу, отчету о финансовых результатах, отчету </w:t>
      </w:r>
      <w:r w:rsidR="00CA54E0" w:rsidRPr="00CA54E0">
        <w:t>об изменениях капитала</w:t>
      </w:r>
      <w:r w:rsidR="00CA54E0">
        <w:t>, о</w:t>
      </w:r>
      <w:r w:rsidR="00CA54E0" w:rsidRPr="00CA54E0">
        <w:t>тчет</w:t>
      </w:r>
      <w:r w:rsidR="00CA54E0">
        <w:t>у</w:t>
      </w:r>
      <w:r w:rsidR="00CA54E0" w:rsidRPr="00CA54E0">
        <w:t xml:space="preserve"> о движении денежных средств</w:t>
      </w:r>
      <w:r w:rsidR="00CA54E0">
        <w:t>,</w:t>
      </w:r>
      <w:r w:rsidR="00CA54E0" w:rsidRPr="00CA54E0">
        <w:t xml:space="preserve"> </w:t>
      </w:r>
      <w:r w:rsidR="00CA54E0">
        <w:t>о</w:t>
      </w:r>
      <w:r w:rsidR="00CA54E0" w:rsidRPr="00CA54E0">
        <w:t>тчет</w:t>
      </w:r>
      <w:r w:rsidR="00CA54E0">
        <w:t>у</w:t>
      </w:r>
      <w:r w:rsidR="00CA54E0" w:rsidRPr="00CA54E0">
        <w:t xml:space="preserve"> о целевом использовании средств</w:t>
      </w:r>
      <w:r w:rsidR="00560FCC">
        <w:t xml:space="preserve"> (</w:t>
      </w:r>
      <w:r w:rsidR="00400739">
        <w:t xml:space="preserve">ни </w:t>
      </w:r>
      <w:r w:rsidR="00560FCC">
        <w:t>к отдельным и</w:t>
      </w:r>
      <w:r w:rsidR="00400739">
        <w:t>з</w:t>
      </w:r>
      <w:r w:rsidR="00560FCC">
        <w:t xml:space="preserve"> перечисленных отчетов</w:t>
      </w:r>
      <w:r w:rsidR="00400739">
        <w:t>, ни ко всем вместе).</w:t>
      </w:r>
    </w:p>
    <w:p w14:paraId="0479505B" w14:textId="77777777" w:rsidR="006904EC" w:rsidRDefault="006904EC" w:rsidP="006904EC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1411"/>
      </w:tblGrid>
      <w:tr w:rsidR="006904EC" w14:paraId="5FC32B2E" w14:textId="77777777" w:rsidTr="005F506C">
        <w:trPr>
          <w:trHeight w:val="555"/>
          <w:tblHeader/>
        </w:trPr>
        <w:tc>
          <w:tcPr>
            <w:tcW w:w="4531" w:type="dxa"/>
            <w:vMerge w:val="restart"/>
          </w:tcPr>
          <w:p w14:paraId="3D0C5D79" w14:textId="77777777" w:rsidR="00C031D2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информации, </w:t>
            </w:r>
          </w:p>
          <w:p w14:paraId="1E6AAE16" w14:textId="77777777" w:rsid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содержащейся в ГИРБО </w:t>
            </w:r>
          </w:p>
          <w:p w14:paraId="7DA542F4" w14:textId="77777777" w:rsidR="006904EC" w:rsidRP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0" w:type="dxa"/>
            <w:gridSpan w:val="2"/>
          </w:tcPr>
          <w:p w14:paraId="480676FD" w14:textId="77777777" w:rsidR="00675543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Лица, которым обеспечивается </w:t>
            </w:r>
          </w:p>
          <w:p w14:paraId="3B0F9490" w14:textId="77777777" w:rsidR="006904EC" w:rsidRP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доступ к информации в 2022 г.</w:t>
            </w:r>
          </w:p>
        </w:tc>
      </w:tr>
      <w:tr w:rsidR="006904EC" w14:paraId="0E41B8D1" w14:textId="77777777" w:rsidTr="005F506C">
        <w:trPr>
          <w:trHeight w:val="555"/>
        </w:trPr>
        <w:tc>
          <w:tcPr>
            <w:tcW w:w="4531" w:type="dxa"/>
            <w:vMerge/>
          </w:tcPr>
          <w:p w14:paraId="5D5C7FDE" w14:textId="77777777" w:rsid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A240AA" w14:textId="77777777" w:rsidR="006904EC" w:rsidRP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государственные органы, органы местного самоуправления, государственные внебюджетные фонды, Банк России</w:t>
            </w:r>
          </w:p>
        </w:tc>
        <w:tc>
          <w:tcPr>
            <w:tcW w:w="1411" w:type="dxa"/>
          </w:tcPr>
          <w:p w14:paraId="2B978B82" w14:textId="77777777" w:rsid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иные лица⁕ </w:t>
            </w:r>
          </w:p>
          <w:p w14:paraId="6FCFB438" w14:textId="77777777" w:rsidR="006904EC" w:rsidRPr="006904EC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904EC" w14:paraId="469501C9" w14:textId="77777777" w:rsidTr="005F506C">
        <w:tc>
          <w:tcPr>
            <w:tcW w:w="4531" w:type="dxa"/>
          </w:tcPr>
          <w:p w14:paraId="0A5BCFC5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Бухгалтерский баланс</w:t>
            </w:r>
          </w:p>
        </w:tc>
        <w:tc>
          <w:tcPr>
            <w:tcW w:w="3969" w:type="dxa"/>
          </w:tcPr>
          <w:p w14:paraId="7F3E61A0" w14:textId="77777777" w:rsidR="006904EC" w:rsidRPr="00390919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173425A6" w14:textId="77777777" w:rsidR="006904EC" w:rsidRDefault="006904EC" w:rsidP="006904EC">
            <w:pPr>
              <w:ind w:firstLine="0"/>
              <w:jc w:val="center"/>
            </w:pPr>
            <w:r w:rsidRPr="006C57F9">
              <w:rPr>
                <w:b/>
                <w:sz w:val="24"/>
                <w:szCs w:val="24"/>
              </w:rPr>
              <w:t>ⱱ</w:t>
            </w:r>
          </w:p>
        </w:tc>
      </w:tr>
      <w:tr w:rsidR="006904EC" w14:paraId="68C80738" w14:textId="77777777" w:rsidTr="005F506C">
        <w:tc>
          <w:tcPr>
            <w:tcW w:w="4531" w:type="dxa"/>
          </w:tcPr>
          <w:p w14:paraId="5D724380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финансовых результатах</w:t>
            </w:r>
          </w:p>
        </w:tc>
        <w:tc>
          <w:tcPr>
            <w:tcW w:w="3969" w:type="dxa"/>
          </w:tcPr>
          <w:p w14:paraId="03946A48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6FBE0B65" w14:textId="77777777" w:rsidR="006904EC" w:rsidRDefault="006904EC" w:rsidP="006904EC">
            <w:pPr>
              <w:ind w:firstLine="0"/>
              <w:jc w:val="center"/>
            </w:pPr>
            <w:r w:rsidRPr="006C57F9">
              <w:rPr>
                <w:b/>
                <w:sz w:val="24"/>
                <w:szCs w:val="24"/>
              </w:rPr>
              <w:t>ⱱ</w:t>
            </w:r>
          </w:p>
        </w:tc>
      </w:tr>
      <w:tr w:rsidR="006904EC" w14:paraId="241BEE7F" w14:textId="77777777" w:rsidTr="005F506C">
        <w:tc>
          <w:tcPr>
            <w:tcW w:w="4531" w:type="dxa"/>
          </w:tcPr>
          <w:p w14:paraId="5CC9CDFA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изменениях капитала</w:t>
            </w:r>
          </w:p>
        </w:tc>
        <w:tc>
          <w:tcPr>
            <w:tcW w:w="3969" w:type="dxa"/>
          </w:tcPr>
          <w:p w14:paraId="44EFD978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4076AEC7" w14:textId="77777777" w:rsidR="006904EC" w:rsidRDefault="006904EC" w:rsidP="006904EC">
            <w:pPr>
              <w:ind w:firstLine="0"/>
              <w:jc w:val="center"/>
            </w:pPr>
            <w:r w:rsidRPr="006C57F9">
              <w:rPr>
                <w:b/>
                <w:sz w:val="24"/>
                <w:szCs w:val="24"/>
              </w:rPr>
              <w:t>ⱱ</w:t>
            </w:r>
          </w:p>
        </w:tc>
      </w:tr>
      <w:tr w:rsidR="006904EC" w14:paraId="1DFE6A58" w14:textId="77777777" w:rsidTr="005F506C">
        <w:tc>
          <w:tcPr>
            <w:tcW w:w="4531" w:type="dxa"/>
          </w:tcPr>
          <w:p w14:paraId="5E994EAF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движении денежных средств</w:t>
            </w:r>
          </w:p>
        </w:tc>
        <w:tc>
          <w:tcPr>
            <w:tcW w:w="3969" w:type="dxa"/>
          </w:tcPr>
          <w:p w14:paraId="3A6C7387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6D98E7B8" w14:textId="77777777" w:rsidR="006904EC" w:rsidRDefault="006904EC" w:rsidP="006904EC">
            <w:pPr>
              <w:ind w:firstLine="0"/>
              <w:jc w:val="center"/>
            </w:pPr>
            <w:r w:rsidRPr="006C57F9">
              <w:rPr>
                <w:b/>
                <w:sz w:val="24"/>
                <w:szCs w:val="24"/>
              </w:rPr>
              <w:t>ⱱ</w:t>
            </w:r>
          </w:p>
        </w:tc>
      </w:tr>
      <w:tr w:rsidR="006904EC" w14:paraId="1A12C874" w14:textId="77777777" w:rsidTr="005F506C">
        <w:tc>
          <w:tcPr>
            <w:tcW w:w="4531" w:type="dxa"/>
          </w:tcPr>
          <w:p w14:paraId="4442660B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целевом использовании средств</w:t>
            </w:r>
          </w:p>
        </w:tc>
        <w:tc>
          <w:tcPr>
            <w:tcW w:w="3969" w:type="dxa"/>
          </w:tcPr>
          <w:p w14:paraId="4251970D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4F1CAC82" w14:textId="77777777" w:rsidR="006904EC" w:rsidRDefault="006904EC" w:rsidP="006904EC">
            <w:pPr>
              <w:ind w:firstLine="0"/>
              <w:jc w:val="center"/>
            </w:pPr>
            <w:r w:rsidRPr="006C57F9">
              <w:rPr>
                <w:b/>
                <w:sz w:val="24"/>
                <w:szCs w:val="24"/>
              </w:rPr>
              <w:t>ⱱ</w:t>
            </w:r>
          </w:p>
        </w:tc>
      </w:tr>
      <w:tr w:rsidR="006904EC" w14:paraId="442E1538" w14:textId="77777777" w:rsidTr="005F506C">
        <w:tc>
          <w:tcPr>
            <w:tcW w:w="4531" w:type="dxa"/>
          </w:tcPr>
          <w:p w14:paraId="5DA0B9B8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к бухгалтерскому балансу и отчету о финансовых результатах</w:t>
            </w:r>
            <w:r w:rsidR="00314E6B">
              <w:rPr>
                <w:sz w:val="24"/>
                <w:szCs w:val="24"/>
              </w:rPr>
              <w:t xml:space="preserve"> (пояснения к бухгалтерскому балансу и отчету о целевом использовании средств)</w:t>
            </w:r>
          </w:p>
        </w:tc>
        <w:tc>
          <w:tcPr>
            <w:tcW w:w="3969" w:type="dxa"/>
          </w:tcPr>
          <w:p w14:paraId="7A01AECB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2D9B919E" w14:textId="77777777" w:rsidR="006904EC" w:rsidRPr="00273A5E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904EC" w14:paraId="071534BD" w14:textId="77777777" w:rsidTr="005F506C">
        <w:tc>
          <w:tcPr>
            <w:tcW w:w="4531" w:type="dxa"/>
          </w:tcPr>
          <w:p w14:paraId="36F0CF60" w14:textId="77777777" w:rsidR="006904EC" w:rsidRPr="009B761E" w:rsidRDefault="006904EC" w:rsidP="006904E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Аудиторское заключение о бухгалтерской отчетности</w:t>
            </w:r>
          </w:p>
        </w:tc>
        <w:tc>
          <w:tcPr>
            <w:tcW w:w="3969" w:type="dxa"/>
          </w:tcPr>
          <w:p w14:paraId="4F505B09" w14:textId="77777777" w:rsidR="006904EC" w:rsidRPr="00390919" w:rsidRDefault="006904EC" w:rsidP="006904EC">
            <w:pPr>
              <w:ind w:firstLine="0"/>
              <w:jc w:val="center"/>
              <w:rPr>
                <w:b/>
              </w:rPr>
            </w:pPr>
            <w:r w:rsidRPr="00390919">
              <w:rPr>
                <w:b/>
                <w:sz w:val="24"/>
                <w:szCs w:val="24"/>
              </w:rPr>
              <w:t>ⱱ</w:t>
            </w:r>
          </w:p>
        </w:tc>
        <w:tc>
          <w:tcPr>
            <w:tcW w:w="1411" w:type="dxa"/>
          </w:tcPr>
          <w:p w14:paraId="58C134D8" w14:textId="77777777" w:rsidR="006904EC" w:rsidRPr="00273A5E" w:rsidRDefault="006904EC" w:rsidP="006904E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5394EA36" w14:textId="77777777" w:rsidR="009B761E" w:rsidRPr="006904EC" w:rsidRDefault="006904EC" w:rsidP="009B761E">
      <w:pPr>
        <w:ind w:firstLine="0"/>
        <w:rPr>
          <w:i/>
        </w:rPr>
      </w:pPr>
      <w:r w:rsidRPr="006904EC">
        <w:rPr>
          <w:b/>
          <w:i/>
        </w:rPr>
        <w:t>⁕</w:t>
      </w:r>
      <w:r w:rsidRPr="006904EC">
        <w:rPr>
          <w:i/>
        </w:rPr>
        <w:t xml:space="preserve"> </w:t>
      </w:r>
      <w:r w:rsidRPr="006904EC">
        <w:rPr>
          <w:i/>
          <w:sz w:val="24"/>
          <w:szCs w:val="24"/>
        </w:rPr>
        <w:t>Включая лиц, которым информация предоставляется в форме годового абонентского обслуживания.</w:t>
      </w:r>
    </w:p>
    <w:p w14:paraId="12E9F243" w14:textId="77777777" w:rsidR="003E778A" w:rsidRPr="00CA54E0" w:rsidRDefault="003E778A" w:rsidP="003E778A">
      <w:pPr>
        <w:pStyle w:val="ListParagraph"/>
        <w:ind w:left="0" w:firstLine="709"/>
      </w:pPr>
      <w:r>
        <w:t xml:space="preserve">Частичное ограничение доступа </w:t>
      </w:r>
      <w:r w:rsidR="00475DAF">
        <w:t xml:space="preserve">иных лиц </w:t>
      </w:r>
      <w:r>
        <w:t xml:space="preserve">к бухгалтерской отчетности, содержащейся в ГИРБО, осуществляется ФНС России в отношении всех организаций, представивших отчетность </w:t>
      </w:r>
      <w:r w:rsidR="00017CC4">
        <w:t>в</w:t>
      </w:r>
      <w:r>
        <w:t xml:space="preserve"> ГИРБО. Такое ограничение вводится ФНС России в силу названного постановления Правительства Российской Федерации. В связи с этим организации не должны подавать в ФНС России заявления о введении этого ограничения.</w:t>
      </w:r>
      <w:r w:rsidR="00CA54E0" w:rsidRPr="00CA54E0">
        <w:t xml:space="preserve"> </w:t>
      </w:r>
    </w:p>
    <w:p w14:paraId="33FFA33F" w14:textId="77777777" w:rsidR="00BF3460" w:rsidRPr="00BF3460" w:rsidRDefault="004D6472" w:rsidP="00F155E9">
      <w:pPr>
        <w:pStyle w:val="ListParagraph"/>
        <w:ind w:left="0" w:firstLine="709"/>
      </w:pPr>
      <w:r>
        <w:t xml:space="preserve">Особенности обеспечения доступа к информации, содержащейся в ГИРБО, в 2022 г. вступили в силу со дня официального опубликования постановления Правительства Российской Федерации, т.е. с </w:t>
      </w:r>
      <w:r w:rsidR="00BB1874">
        <w:t>18</w:t>
      </w:r>
      <w:r>
        <w:t xml:space="preserve"> марта 2022 г.</w:t>
      </w:r>
      <w:r w:rsidR="004456A9">
        <w:t xml:space="preserve"> </w:t>
      </w:r>
    </w:p>
    <w:p w14:paraId="7126767C" w14:textId="77777777" w:rsidR="004F1EE6" w:rsidRDefault="004F1EE6" w:rsidP="00F155E9">
      <w:pPr>
        <w:pStyle w:val="ListParagraph"/>
        <w:ind w:left="0" w:firstLine="709"/>
        <w:rPr>
          <w:lang w:eastAsia="ru-RU"/>
        </w:rPr>
      </w:pPr>
    </w:p>
    <w:p w14:paraId="6B9C61A4" w14:textId="77777777" w:rsidR="005647C8" w:rsidRDefault="007B7354" w:rsidP="005647C8">
      <w:pPr>
        <w:pStyle w:val="BodyTextIndent"/>
        <w:jc w:val="center"/>
        <w:rPr>
          <w:b/>
        </w:rPr>
      </w:pPr>
      <w:r>
        <w:rPr>
          <w:b/>
        </w:rPr>
        <w:t>Установлено</w:t>
      </w:r>
      <w:r w:rsidR="004D6472">
        <w:rPr>
          <w:b/>
        </w:rPr>
        <w:t xml:space="preserve"> право организаций не</w:t>
      </w:r>
      <w:r w:rsidR="005647C8">
        <w:rPr>
          <w:b/>
        </w:rPr>
        <w:t xml:space="preserve"> раскры</w:t>
      </w:r>
      <w:r w:rsidR="004D6472">
        <w:rPr>
          <w:b/>
        </w:rPr>
        <w:t>вать</w:t>
      </w:r>
      <w:r w:rsidR="005647C8">
        <w:rPr>
          <w:b/>
        </w:rPr>
        <w:t xml:space="preserve"> </w:t>
      </w:r>
    </w:p>
    <w:p w14:paraId="695AAE50" w14:textId="77777777" w:rsidR="006767C0" w:rsidRPr="00F155E9" w:rsidRDefault="005647C8" w:rsidP="006767C0">
      <w:pPr>
        <w:pStyle w:val="BodyTextIndent"/>
        <w:jc w:val="center"/>
        <w:rPr>
          <w:b/>
        </w:rPr>
      </w:pPr>
      <w:r>
        <w:rPr>
          <w:b/>
        </w:rPr>
        <w:t>консолидированн</w:t>
      </w:r>
      <w:r w:rsidR="004D6472">
        <w:rPr>
          <w:b/>
        </w:rPr>
        <w:t>ую</w:t>
      </w:r>
      <w:r>
        <w:rPr>
          <w:b/>
        </w:rPr>
        <w:t xml:space="preserve"> финансов</w:t>
      </w:r>
      <w:r w:rsidR="004D6472">
        <w:rPr>
          <w:b/>
        </w:rPr>
        <w:t>ую</w:t>
      </w:r>
      <w:r w:rsidR="00CB6CE4">
        <w:rPr>
          <w:b/>
        </w:rPr>
        <w:t xml:space="preserve"> </w:t>
      </w:r>
      <w:r w:rsidR="006767C0" w:rsidRPr="00F155E9">
        <w:rPr>
          <w:b/>
        </w:rPr>
        <w:t>отчетност</w:t>
      </w:r>
      <w:r w:rsidR="004D6472">
        <w:rPr>
          <w:b/>
        </w:rPr>
        <w:t>ь</w:t>
      </w:r>
      <w:r w:rsidR="006767C0" w:rsidRPr="00F155E9">
        <w:rPr>
          <w:b/>
        </w:rPr>
        <w:t xml:space="preserve"> </w:t>
      </w:r>
    </w:p>
    <w:p w14:paraId="56DE15E4" w14:textId="77777777" w:rsidR="006767C0" w:rsidRDefault="006767C0" w:rsidP="006767C0">
      <w:pPr>
        <w:pStyle w:val="BodyTextIndent"/>
        <w:jc w:val="center"/>
      </w:pPr>
    </w:p>
    <w:p w14:paraId="20FABC13" w14:textId="77777777" w:rsidR="004D6472" w:rsidRDefault="004D6472" w:rsidP="008857DA">
      <w:pPr>
        <w:autoSpaceDE w:val="0"/>
        <w:autoSpaceDN w:val="0"/>
        <w:adjustRightInd w:val="0"/>
        <w:ind w:firstLine="709"/>
      </w:pPr>
      <w:r>
        <w:t>Исходя из</w:t>
      </w:r>
      <w:r w:rsidR="00836A45">
        <w:t xml:space="preserve"> част</w:t>
      </w:r>
      <w:r>
        <w:t>и</w:t>
      </w:r>
      <w:r w:rsidR="00836A45">
        <w:t xml:space="preserve"> </w:t>
      </w:r>
      <w:r w:rsidR="005647C8">
        <w:t>1</w:t>
      </w:r>
      <w:r w:rsidR="00836A45">
        <w:t xml:space="preserve"> статьи </w:t>
      </w:r>
      <w:r w:rsidR="005647C8">
        <w:t>7</w:t>
      </w:r>
      <w:r w:rsidR="00836A45">
        <w:t xml:space="preserve"> </w:t>
      </w:r>
      <w:r w:rsidR="00836A45" w:rsidRPr="002239F9">
        <w:rPr>
          <w:shd w:val="clear" w:color="auto" w:fill="FFFFFF"/>
        </w:rPr>
        <w:t xml:space="preserve">Федерального закона </w:t>
      </w:r>
      <w:r w:rsidR="00836A45" w:rsidRPr="00BD638F">
        <w:t xml:space="preserve">«О </w:t>
      </w:r>
      <w:r w:rsidR="005647C8">
        <w:t>консолидированной финансовой отчетности</w:t>
      </w:r>
      <w:r w:rsidR="00836A45" w:rsidRPr="00BD638F">
        <w:t>»</w:t>
      </w:r>
      <w:r w:rsidR="00836A45">
        <w:t xml:space="preserve"> </w:t>
      </w:r>
      <w:r w:rsidR="005647C8">
        <w:t>организации обязаны раскрывать годовую консолидированную финанс</w:t>
      </w:r>
      <w:r>
        <w:t>о</w:t>
      </w:r>
      <w:r w:rsidR="005647C8">
        <w:t xml:space="preserve">вую отчетность, а </w:t>
      </w:r>
      <w:r>
        <w:t>в ряде случаев – и промежуточную консолидированную финансовую отчетность.</w:t>
      </w:r>
    </w:p>
    <w:p w14:paraId="4E0DDC20" w14:textId="77777777" w:rsidR="004D6472" w:rsidRDefault="004D6472" w:rsidP="008857DA">
      <w:pPr>
        <w:autoSpaceDE w:val="0"/>
        <w:autoSpaceDN w:val="0"/>
        <w:adjustRightInd w:val="0"/>
        <w:ind w:firstLine="709"/>
      </w:pPr>
      <w:r>
        <w:t>Постановлением Правительства Российской Федерации от 18 марта 2022 г. № 395 в 2022 г. этим организациям предоставлено право отказаться от раскрытия отчетности</w:t>
      </w:r>
      <w:r w:rsidR="00017CC4">
        <w:t>. Решение об отказе принимается организацией</w:t>
      </w:r>
      <w:r>
        <w:t xml:space="preserve"> в случае, если такое раскрытие приведет (может привести) </w:t>
      </w:r>
      <w:r w:rsidR="00CB62E8">
        <w:t>к введению мер ограничительного характера со стороны иностранных государств, и (или) государственных объединений, и (или) союзов, и (или) государственных (межгосударственных) учреждений иностранных государств или государственных объединений и (или) союзов в отношении этой организации и (или) иных лиц.</w:t>
      </w:r>
    </w:p>
    <w:p w14:paraId="04C28C73" w14:textId="77777777" w:rsidR="004D6472" w:rsidRDefault="004D6472" w:rsidP="004D6472">
      <w:pPr>
        <w:pStyle w:val="ListParagraph"/>
        <w:ind w:left="0" w:firstLine="709"/>
      </w:pPr>
      <w:r>
        <w:t>Принятие организацией решения не раскрывать консолидированную финансовую отчетность не изменяет:</w:t>
      </w:r>
    </w:p>
    <w:p w14:paraId="3692BC91" w14:textId="77777777" w:rsidR="004D6472" w:rsidRDefault="004D6472" w:rsidP="004D6472">
      <w:pPr>
        <w:pStyle w:val="ListParagraph"/>
        <w:ind w:left="0" w:firstLine="709"/>
        <w:rPr>
          <w:lang w:eastAsia="ru-RU"/>
        </w:rPr>
      </w:pPr>
      <w:r>
        <w:t>обязанность организаций</w:t>
      </w:r>
      <w:r w:rsidR="00C44D57">
        <w:t xml:space="preserve">, определенных законодательством Российской Федерации, составить консолидированную финансовую отчетность за 2021 г., а также промежуточную консолидированную финансовую отчетность </w:t>
      </w:r>
      <w:r w:rsidR="00CB62E8">
        <w:t>в</w:t>
      </w:r>
      <w:r w:rsidR="00C44D57">
        <w:t xml:space="preserve"> 2022 г.</w:t>
      </w:r>
      <w:r>
        <w:rPr>
          <w:lang w:eastAsia="ru-RU"/>
        </w:rPr>
        <w:t>;</w:t>
      </w:r>
    </w:p>
    <w:p w14:paraId="3658E7A2" w14:textId="77777777" w:rsidR="004D6472" w:rsidRDefault="004D6472" w:rsidP="004D6472">
      <w:pPr>
        <w:pStyle w:val="ListParagraph"/>
        <w:ind w:left="0" w:firstLine="709"/>
        <w:rPr>
          <w:rFonts w:eastAsia="Calibri"/>
          <w:bCs/>
          <w:color w:val="000000" w:themeColor="text1"/>
        </w:rPr>
      </w:pPr>
      <w:r>
        <w:rPr>
          <w:lang w:eastAsia="ru-RU"/>
        </w:rPr>
        <w:t xml:space="preserve">обязанность организаций, </w:t>
      </w:r>
      <w:r w:rsidRPr="00743160">
        <w:t>раскры</w:t>
      </w:r>
      <w:r>
        <w:t>вающих</w:t>
      </w:r>
      <w:r w:rsidRPr="007E45D1">
        <w:t xml:space="preserve"> </w:t>
      </w:r>
      <w:r>
        <w:t xml:space="preserve">свою </w:t>
      </w:r>
      <w:r w:rsidR="00C44D57">
        <w:t xml:space="preserve">консолидированную финансовую отчетность </w:t>
      </w:r>
      <w:r>
        <w:t xml:space="preserve">в силу требований федеральных законов </w:t>
      </w:r>
      <w:r w:rsidRPr="00743160">
        <w:t xml:space="preserve">в </w:t>
      </w:r>
      <w:r>
        <w:t>СМИ,</w:t>
      </w:r>
      <w:r w:rsidRPr="00E36F62">
        <w:rPr>
          <w:rFonts w:eastAsia="Calibri"/>
          <w:bCs/>
          <w:color w:val="000000" w:themeColor="text1"/>
        </w:rPr>
        <w:t xml:space="preserve"> вн</w:t>
      </w:r>
      <w:r w:rsidR="00CB62E8">
        <w:rPr>
          <w:rFonts w:eastAsia="Calibri"/>
          <w:bCs/>
          <w:color w:val="000000" w:themeColor="text1"/>
        </w:rPr>
        <w:t>ести</w:t>
      </w:r>
      <w:r w:rsidRPr="00E36F62">
        <w:rPr>
          <w:rFonts w:eastAsia="Calibri"/>
          <w:bCs/>
          <w:color w:val="000000" w:themeColor="text1"/>
        </w:rPr>
        <w:t xml:space="preserve"> сведения о</w:t>
      </w:r>
      <w:r>
        <w:rPr>
          <w:rFonts w:eastAsia="Calibri"/>
          <w:bCs/>
          <w:color w:val="000000" w:themeColor="text1"/>
        </w:rPr>
        <w:t>б</w:t>
      </w:r>
      <w:r>
        <w:t xml:space="preserve"> отчетности и результатах обязательного аудита ее</w:t>
      </w:r>
      <w:r w:rsidRPr="00E36F62">
        <w:rPr>
          <w:rFonts w:eastAsia="Calibri"/>
          <w:bCs/>
          <w:color w:val="000000" w:themeColor="text1"/>
        </w:rPr>
        <w:t xml:space="preserve"> в Единый федеральный реестр сведений о фактах деятельности юридических лиц</w:t>
      </w:r>
      <w:r>
        <w:rPr>
          <w:rFonts w:eastAsia="Calibri"/>
          <w:bCs/>
          <w:color w:val="000000" w:themeColor="text1"/>
        </w:rPr>
        <w:t>. Состав, сроки и порядок внесения таких сведений в федеральный реестр</w:t>
      </w:r>
      <w:r w:rsidR="00CB62E8">
        <w:rPr>
          <w:rFonts w:eastAsia="Calibri"/>
          <w:bCs/>
          <w:color w:val="000000" w:themeColor="text1"/>
        </w:rPr>
        <w:t>, а также условия, при которых сведения, содержащиеся в нем, не подлежат размещению в Интернете,</w:t>
      </w:r>
      <w:r>
        <w:rPr>
          <w:rFonts w:eastAsia="Calibri"/>
          <w:bCs/>
          <w:color w:val="000000" w:themeColor="text1"/>
        </w:rPr>
        <w:t xml:space="preserve"> установлены </w:t>
      </w:r>
      <w:r w:rsidRPr="00E36F62">
        <w:rPr>
          <w:rFonts w:eastAsia="Calibri"/>
          <w:bCs/>
          <w:color w:val="000000" w:themeColor="text1"/>
        </w:rPr>
        <w:t>Федеральным законом «О государственной регистрации юридических лиц и индивидуальных предпринимателей»</w:t>
      </w:r>
      <w:r w:rsidR="005018CF">
        <w:rPr>
          <w:rFonts w:eastAsia="Calibri"/>
          <w:bCs/>
          <w:color w:val="000000" w:themeColor="text1"/>
        </w:rPr>
        <w:t>²</w:t>
      </w:r>
      <w:r>
        <w:rPr>
          <w:rFonts w:eastAsia="Calibri"/>
          <w:bCs/>
          <w:color w:val="000000" w:themeColor="text1"/>
        </w:rPr>
        <w:t>;</w:t>
      </w:r>
    </w:p>
    <w:p w14:paraId="0BBB0D58" w14:textId="77777777" w:rsidR="004D6472" w:rsidRDefault="004D6472" w:rsidP="004D6472">
      <w:pPr>
        <w:autoSpaceDE w:val="0"/>
        <w:autoSpaceDN w:val="0"/>
        <w:adjustRightInd w:val="0"/>
        <w:ind w:firstLine="709"/>
      </w:pPr>
      <w:r>
        <w:rPr>
          <w:rFonts w:eastAsia="Calibri"/>
          <w:bCs/>
          <w:color w:val="000000" w:themeColor="text1"/>
        </w:rPr>
        <w:t>обязанность организаций пров</w:t>
      </w:r>
      <w:r w:rsidR="00CB62E8">
        <w:rPr>
          <w:rFonts w:eastAsia="Calibri"/>
          <w:bCs/>
          <w:color w:val="000000" w:themeColor="text1"/>
        </w:rPr>
        <w:t>ести</w:t>
      </w:r>
      <w:r>
        <w:rPr>
          <w:rFonts w:eastAsia="Calibri"/>
          <w:bCs/>
          <w:color w:val="000000" w:themeColor="text1"/>
        </w:rPr>
        <w:t xml:space="preserve"> аудит годовой </w:t>
      </w:r>
      <w:r w:rsidR="00CB62E8">
        <w:t xml:space="preserve">консолидированной финансовой отчетности за 2021 г., а также аудит либо </w:t>
      </w:r>
      <w:r w:rsidR="00017CC4">
        <w:t xml:space="preserve">иную </w:t>
      </w:r>
      <w:r w:rsidR="00CB62E8">
        <w:t>проверку</w:t>
      </w:r>
      <w:r w:rsidR="00DE2E65">
        <w:t xml:space="preserve"> аудиторской организацией</w:t>
      </w:r>
      <w:r w:rsidR="00CB62E8">
        <w:t xml:space="preserve"> промежуточной консолидированной финансовой отчетности в 2022 г.</w:t>
      </w:r>
    </w:p>
    <w:p w14:paraId="21FB9421" w14:textId="77777777" w:rsidR="004D6472" w:rsidRPr="00BF3460" w:rsidRDefault="004D6472" w:rsidP="004D6472">
      <w:pPr>
        <w:pStyle w:val="ListParagraph"/>
        <w:ind w:left="0" w:firstLine="709"/>
      </w:pPr>
      <w:r>
        <w:t xml:space="preserve">Постановление Правительства Российской Федерации вступило в силу со дня официального опубликования его, т.е. с </w:t>
      </w:r>
      <w:r w:rsidR="00BB1874">
        <w:t>18</w:t>
      </w:r>
      <w:r>
        <w:t xml:space="preserve"> марта 2022 г.</w:t>
      </w:r>
      <w:r w:rsidR="004456A9">
        <w:t>,</w:t>
      </w:r>
      <w:r w:rsidR="004456A9" w:rsidRPr="004456A9">
        <w:t xml:space="preserve"> </w:t>
      </w:r>
      <w:r w:rsidR="004456A9">
        <w:t>и действует до 31 декабря 2022 г.</w:t>
      </w:r>
    </w:p>
    <w:p w14:paraId="4B6E8171" w14:textId="77777777" w:rsidR="006767C0" w:rsidRDefault="006767C0" w:rsidP="006767C0">
      <w:pPr>
        <w:pStyle w:val="BodyTextIndent"/>
      </w:pPr>
    </w:p>
    <w:p w14:paraId="6968A284" w14:textId="77777777" w:rsidR="00010C5E" w:rsidRPr="00010C5E" w:rsidRDefault="004347C6" w:rsidP="00680D23">
      <w:pPr>
        <w:pStyle w:val="BodyTextIndent"/>
        <w:ind w:firstLine="0"/>
        <w:jc w:val="center"/>
        <w:rPr>
          <w:b/>
        </w:rPr>
      </w:pPr>
      <w:r>
        <w:rPr>
          <w:b/>
        </w:rPr>
        <w:t>Введены особенности раскрытия информации</w:t>
      </w:r>
      <w:r w:rsidR="00474A90">
        <w:rPr>
          <w:b/>
        </w:rPr>
        <w:t xml:space="preserve"> на финансовом рынке</w:t>
      </w:r>
      <w:r>
        <w:rPr>
          <w:b/>
        </w:rPr>
        <w:t xml:space="preserve"> </w:t>
      </w:r>
    </w:p>
    <w:p w14:paraId="6E2F9351" w14:textId="77777777" w:rsidR="00010C5E" w:rsidRDefault="00010C5E" w:rsidP="00275228">
      <w:pPr>
        <w:pStyle w:val="BodyTextIndent"/>
        <w:jc w:val="both"/>
      </w:pPr>
    </w:p>
    <w:p w14:paraId="323383D0" w14:textId="77777777" w:rsidR="00CB4040" w:rsidRDefault="00CB4040" w:rsidP="001709C6">
      <w:pPr>
        <w:autoSpaceDE w:val="0"/>
        <w:autoSpaceDN w:val="0"/>
        <w:adjustRightInd w:val="0"/>
        <w:ind w:firstLine="708"/>
      </w:pPr>
      <w:r>
        <w:t>Постановлением Правительства Российской Федерации от 12 марта 2022 г.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установлены особенности раскрытия и предоставления информации на финансовом рынке</w:t>
      </w:r>
      <w:r w:rsidR="0080508E">
        <w:t xml:space="preserve"> в 2022 г</w:t>
      </w:r>
      <w:r>
        <w:t xml:space="preserve">. В частности, установлено, что эмитенты ценных бумаг вправе осуществлять раскрытие и (или) предоставление информации, подлежащей раскрытию (в том числе в проспекте ценных бумаг) и (или) предоставлению в соответствии с требованиями Федерального закона «Об акционерных обществах» и Федерального закона «О рынке ценных бумаг» (вне зависимости от целей и формы раскрытия или предоставления информации), в ограниченных составе и (или) объеме либо отказаться от раскрытия и (или) предоставления указанной информации в случае, если раскрытие и (или) предоставление соответствующей информации приведет (может привести) к введению мер ограничительного характера в отношении эмитента и (или) иных лиц, в том числе к введению новых мер ограничительного характера в отношении лица, о котором эмитентом раскрывается и (или) предоставляется информация. Аналогичное ограничение допустимо при раскрытии инсайдерской информации в соответствии с </w:t>
      </w:r>
      <w:r w:rsidR="001709C6">
        <w:t>Федеральным законом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14:paraId="7D547FED" w14:textId="77777777" w:rsidR="000A671D" w:rsidRDefault="000A671D" w:rsidP="000A671D">
      <w:pPr>
        <w:autoSpaceDE w:val="0"/>
        <w:autoSpaceDN w:val="0"/>
        <w:adjustRightInd w:val="0"/>
        <w:ind w:firstLine="708"/>
      </w:pPr>
      <w:r>
        <w:t>Особенности раскрытия и предоставления информации, предусмотренные названным постановлением Правительства Российской Федерации, распространяются на правоотношения, возникшие с 1 января 2019 г.</w:t>
      </w:r>
    </w:p>
    <w:p w14:paraId="2DBC9E3C" w14:textId="77777777" w:rsidR="001709C6" w:rsidRDefault="001709C6" w:rsidP="00CB4040">
      <w:pPr>
        <w:autoSpaceDE w:val="0"/>
        <w:autoSpaceDN w:val="0"/>
        <w:adjustRightInd w:val="0"/>
        <w:ind w:firstLine="0"/>
      </w:pPr>
      <w:r>
        <w:tab/>
        <w:t xml:space="preserve">Постановлением Правительства Российской Федерации от 12 марта 2022 г. № 351 вступило в силу со дня официального опубликования его, т.е. с </w:t>
      </w:r>
      <w:r w:rsidR="00E7198D">
        <w:t>14</w:t>
      </w:r>
      <w:r>
        <w:t xml:space="preserve"> марта 2022 г.</w:t>
      </w:r>
      <w:r w:rsidR="0080508E">
        <w:t>, и действует до 31 декабря 2022 г.</w:t>
      </w:r>
    </w:p>
    <w:p w14:paraId="380F3672" w14:textId="77777777" w:rsidR="00792143" w:rsidRDefault="00792143" w:rsidP="00CB4040">
      <w:pPr>
        <w:autoSpaceDE w:val="0"/>
        <w:autoSpaceDN w:val="0"/>
        <w:adjustRightInd w:val="0"/>
        <w:ind w:firstLine="0"/>
      </w:pPr>
    </w:p>
    <w:p w14:paraId="3AA8744D" w14:textId="77777777" w:rsidR="007B7354" w:rsidRDefault="007B7354" w:rsidP="007B7354">
      <w:pPr>
        <w:autoSpaceDE w:val="0"/>
        <w:autoSpaceDN w:val="0"/>
        <w:ind w:firstLine="0"/>
      </w:pPr>
    </w:p>
    <w:p w14:paraId="6B829359" w14:textId="77777777" w:rsidR="0010339B" w:rsidRDefault="007B7354" w:rsidP="007B7354">
      <w:pPr>
        <w:autoSpaceDE w:val="0"/>
        <w:autoSpaceDN w:val="0"/>
        <w:ind w:firstLine="0"/>
        <w:jc w:val="center"/>
        <w:rPr>
          <w:b/>
        </w:rPr>
      </w:pPr>
      <w:r>
        <w:rPr>
          <w:b/>
        </w:rPr>
        <w:t xml:space="preserve">Возможность особых сроков раскрытия </w:t>
      </w:r>
    </w:p>
    <w:p w14:paraId="0B5BB452" w14:textId="77777777" w:rsidR="007B7354" w:rsidRPr="007B7354" w:rsidRDefault="0010339B" w:rsidP="007B7354">
      <w:pPr>
        <w:autoSpaceDE w:val="0"/>
        <w:autoSpaceDN w:val="0"/>
        <w:ind w:firstLine="0"/>
        <w:jc w:val="center"/>
        <w:rPr>
          <w:b/>
        </w:rPr>
      </w:pPr>
      <w:r>
        <w:rPr>
          <w:b/>
        </w:rPr>
        <w:t>бухгалтерской отчетности эмитент</w:t>
      </w:r>
      <w:r w:rsidR="00251BCB">
        <w:rPr>
          <w:b/>
        </w:rPr>
        <w:t>ами</w:t>
      </w:r>
    </w:p>
    <w:p w14:paraId="58217259" w14:textId="77777777" w:rsidR="00743160" w:rsidRDefault="00743160" w:rsidP="008857DA">
      <w:pPr>
        <w:autoSpaceDE w:val="0"/>
        <w:autoSpaceDN w:val="0"/>
        <w:ind w:firstLine="709"/>
      </w:pPr>
    </w:p>
    <w:p w14:paraId="162CA1E4" w14:textId="77777777" w:rsidR="00A90184" w:rsidRDefault="007B7354" w:rsidP="008857DA">
      <w:pPr>
        <w:autoSpaceDE w:val="0"/>
        <w:autoSpaceDN w:val="0"/>
        <w:ind w:firstLine="709"/>
        <w:rPr>
          <w:lang w:eastAsia="ru-RU"/>
        </w:rPr>
      </w:pPr>
      <w:r w:rsidRPr="00A90184">
        <w:t xml:space="preserve">Федеральным законом от 8 марта 2022 г. № </w:t>
      </w:r>
      <w:r w:rsidR="00A90184" w:rsidRPr="00A90184">
        <w:t>46-ФЗ «О внесении изменений в отдельные законодательные акты Российской Федерации»</w:t>
      </w:r>
      <w:r w:rsidR="00A90184" w:rsidRPr="00A90184">
        <w:rPr>
          <w:lang w:eastAsia="ru-RU"/>
        </w:rPr>
        <w:t xml:space="preserve"> Совет</w:t>
      </w:r>
      <w:r w:rsidR="00A90184">
        <w:rPr>
          <w:lang w:eastAsia="ru-RU"/>
        </w:rPr>
        <w:t>у</w:t>
      </w:r>
      <w:r w:rsidR="00A90184" w:rsidRPr="00A90184">
        <w:rPr>
          <w:lang w:eastAsia="ru-RU"/>
        </w:rPr>
        <w:t xml:space="preserve"> директоров Банка России </w:t>
      </w:r>
      <w:r w:rsidR="00A90184">
        <w:rPr>
          <w:lang w:eastAsia="ru-RU"/>
        </w:rPr>
        <w:t xml:space="preserve">предоставлено право </w:t>
      </w:r>
      <w:r w:rsidR="00A90184" w:rsidRPr="00A90184">
        <w:rPr>
          <w:lang w:eastAsia="ru-RU"/>
        </w:rPr>
        <w:t>устан</w:t>
      </w:r>
      <w:r w:rsidR="00A90184">
        <w:rPr>
          <w:lang w:eastAsia="ru-RU"/>
        </w:rPr>
        <w:t>авливать</w:t>
      </w:r>
      <w:r w:rsidR="00A90184" w:rsidRPr="00A90184">
        <w:rPr>
          <w:lang w:eastAsia="ru-RU"/>
        </w:rPr>
        <w:t xml:space="preserve"> сроки раскрытия информации в форме отчета эмитента, бухгалтерской (финансовой) отчетности эмитента, списков аффилированных лиц, сроки составления и представления отчетности, а также другой предусмотренной федеральными законами и нормативными актами Банка России информации кредитными и </w:t>
      </w:r>
      <w:proofErr w:type="spellStart"/>
      <w:r w:rsidR="00A90184" w:rsidRPr="00A90184">
        <w:rPr>
          <w:lang w:eastAsia="ru-RU"/>
        </w:rPr>
        <w:t>некредитными</w:t>
      </w:r>
      <w:proofErr w:type="spellEnd"/>
      <w:r w:rsidR="00A90184" w:rsidRPr="00A90184">
        <w:rPr>
          <w:lang w:eastAsia="ru-RU"/>
        </w:rPr>
        <w:t xml:space="preserve"> финансовыми организациями, превышающие сроки раскрытия, составления и представления соответствующих отчетности и информации, установленные федеральными законами и нормативными актами Банка России</w:t>
      </w:r>
      <w:r w:rsidR="00A90184">
        <w:rPr>
          <w:lang w:eastAsia="ru-RU"/>
        </w:rPr>
        <w:t>.</w:t>
      </w:r>
    </w:p>
    <w:p w14:paraId="494B6E56" w14:textId="77777777" w:rsidR="00A90184" w:rsidRDefault="00A90184" w:rsidP="006A07DD">
      <w:pPr>
        <w:autoSpaceDE w:val="0"/>
        <w:autoSpaceDN w:val="0"/>
        <w:adjustRightInd w:val="0"/>
        <w:ind w:firstLine="426"/>
      </w:pPr>
      <w:r>
        <w:rPr>
          <w:lang w:eastAsia="ru-RU"/>
        </w:rPr>
        <w:t xml:space="preserve">Данная </w:t>
      </w:r>
      <w:r w:rsidR="007A7888">
        <w:rPr>
          <w:lang w:eastAsia="ru-RU"/>
        </w:rPr>
        <w:t xml:space="preserve"> </w:t>
      </w:r>
      <w:r>
        <w:rPr>
          <w:lang w:eastAsia="ru-RU"/>
        </w:rPr>
        <w:t>норма</w:t>
      </w:r>
      <w:r w:rsidR="007A7888">
        <w:rPr>
          <w:lang w:eastAsia="ru-RU"/>
        </w:rPr>
        <w:t xml:space="preserve"> </w:t>
      </w:r>
      <w:r>
        <w:rPr>
          <w:lang w:eastAsia="ru-RU"/>
        </w:rPr>
        <w:t xml:space="preserve"> вступила </w:t>
      </w:r>
      <w:r w:rsidR="007A7888">
        <w:rPr>
          <w:lang w:eastAsia="ru-RU"/>
        </w:rPr>
        <w:t xml:space="preserve"> </w:t>
      </w:r>
      <w:r>
        <w:rPr>
          <w:lang w:eastAsia="ru-RU"/>
        </w:rPr>
        <w:t xml:space="preserve">в силу </w:t>
      </w:r>
      <w:r w:rsidR="00E203FE">
        <w:rPr>
          <w:lang w:eastAsia="ru-RU"/>
        </w:rPr>
        <w:t>8</w:t>
      </w:r>
      <w:r>
        <w:rPr>
          <w:lang w:eastAsia="ru-RU"/>
        </w:rPr>
        <w:t xml:space="preserve"> марта 2022 г. и</w:t>
      </w:r>
      <w:r w:rsidRPr="00A90184">
        <w:t xml:space="preserve"> </w:t>
      </w:r>
      <w:r>
        <w:t>действует до 31 декабря 2022 г.</w:t>
      </w:r>
    </w:p>
    <w:p w14:paraId="6DD4B028" w14:textId="77777777" w:rsidR="007B7354" w:rsidRPr="00A90184" w:rsidRDefault="00A90184" w:rsidP="008857DA">
      <w:pPr>
        <w:autoSpaceDE w:val="0"/>
        <w:autoSpaceDN w:val="0"/>
        <w:ind w:firstLine="709"/>
      </w:pPr>
      <w:r>
        <w:rPr>
          <w:lang w:eastAsia="ru-RU"/>
        </w:rPr>
        <w:t xml:space="preserve"> </w:t>
      </w:r>
      <w:r w:rsidRPr="00A90184">
        <w:t xml:space="preserve"> </w:t>
      </w:r>
    </w:p>
    <w:p w14:paraId="1376E359" w14:textId="77777777" w:rsidR="00743160" w:rsidRDefault="00743160" w:rsidP="008857DA">
      <w:pPr>
        <w:autoSpaceDE w:val="0"/>
        <w:autoSpaceDN w:val="0"/>
        <w:ind w:firstLine="709"/>
      </w:pPr>
    </w:p>
    <w:p w14:paraId="52FC87B3" w14:textId="77777777" w:rsidR="00D94F14" w:rsidRPr="008857DA" w:rsidRDefault="00D94F14" w:rsidP="00D94F14">
      <w:pPr>
        <w:pStyle w:val="ConsPlusNormal"/>
        <w:rPr>
          <w:i/>
        </w:rPr>
      </w:pPr>
      <w:r w:rsidRPr="003E016D">
        <w:rPr>
          <w:i/>
        </w:rPr>
        <w:t>Департамент регу</w:t>
      </w:r>
      <w:r w:rsidR="008857DA">
        <w:rPr>
          <w:i/>
        </w:rPr>
        <w:t>лирования бухгалтерского учета,</w:t>
      </w:r>
    </w:p>
    <w:p w14:paraId="3CEECAF9" w14:textId="77777777" w:rsidR="00D94F14" w:rsidRPr="008857DA" w:rsidRDefault="00D94F14" w:rsidP="00D94F14">
      <w:pPr>
        <w:pStyle w:val="ConsPlusNormal"/>
        <w:rPr>
          <w:i/>
        </w:rPr>
      </w:pPr>
      <w:r w:rsidRPr="003E016D">
        <w:rPr>
          <w:i/>
        </w:rPr>
        <w:t>финансовой отчетности и аудиторской</w:t>
      </w:r>
      <w:r>
        <w:rPr>
          <w:i/>
        </w:rPr>
        <w:t xml:space="preserve"> </w:t>
      </w:r>
      <w:r w:rsidR="008857DA">
        <w:rPr>
          <w:i/>
        </w:rPr>
        <w:t>деятельности</w:t>
      </w:r>
    </w:p>
    <w:p w14:paraId="2FED9058" w14:textId="77777777" w:rsidR="005A3E97" w:rsidRDefault="00D94F14" w:rsidP="003A611F">
      <w:pPr>
        <w:pStyle w:val="ConsPlusNormal"/>
      </w:pPr>
      <w:r w:rsidRPr="003E016D">
        <w:rPr>
          <w:i/>
        </w:rPr>
        <w:t>Минфина России</w:t>
      </w:r>
    </w:p>
    <w:sectPr w:rsidR="005A3E97" w:rsidSect="00143219">
      <w:headerReference w:type="default" r:id="rId7"/>
      <w:pgSz w:w="11906" w:h="16838"/>
      <w:pgMar w:top="964" w:right="851" w:bottom="794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2D99" w14:textId="77777777" w:rsidR="009E5626" w:rsidRDefault="009E5626" w:rsidP="004C6E57">
      <w:r>
        <w:separator/>
      </w:r>
    </w:p>
  </w:endnote>
  <w:endnote w:type="continuationSeparator" w:id="0">
    <w:p w14:paraId="06DD8E1E" w14:textId="77777777" w:rsidR="009E5626" w:rsidRDefault="009E5626" w:rsidP="004C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DFBED" w14:textId="77777777" w:rsidR="009E5626" w:rsidRDefault="009E5626" w:rsidP="004C6E57">
      <w:r>
        <w:separator/>
      </w:r>
    </w:p>
  </w:footnote>
  <w:footnote w:type="continuationSeparator" w:id="0">
    <w:p w14:paraId="168D6289" w14:textId="77777777" w:rsidR="009E5626" w:rsidRDefault="009E5626" w:rsidP="004C6E57">
      <w:r>
        <w:continuationSeparator/>
      </w:r>
    </w:p>
  </w:footnote>
  <w:footnote w:id="1">
    <w:p w14:paraId="318C366E" w14:textId="77777777" w:rsidR="00531822" w:rsidRPr="006F52A6" w:rsidRDefault="00531822" w:rsidP="00604DC9">
      <w:pPr>
        <w:pStyle w:val="FootnoteText"/>
        <w:rPr>
          <w:i/>
          <w:sz w:val="24"/>
          <w:szCs w:val="24"/>
        </w:rPr>
      </w:pPr>
      <w:r w:rsidRPr="006F52A6">
        <w:rPr>
          <w:rStyle w:val="FootnoteReference"/>
          <w:sz w:val="24"/>
          <w:szCs w:val="24"/>
        </w:rPr>
        <w:footnoteRef/>
      </w:r>
      <w:r w:rsidRPr="006F52A6">
        <w:rPr>
          <w:sz w:val="24"/>
          <w:szCs w:val="24"/>
        </w:rPr>
        <w:t xml:space="preserve"> См. Информационное сообщение ИС-учет-12. </w:t>
      </w:r>
    </w:p>
  </w:footnote>
  <w:footnote w:id="2">
    <w:p w14:paraId="6B10F24D" w14:textId="77777777" w:rsidR="00470A9B" w:rsidRPr="004674CC" w:rsidRDefault="00470A9B" w:rsidP="00470A9B">
      <w:pPr>
        <w:pStyle w:val="FootnoteText"/>
        <w:rPr>
          <w:sz w:val="24"/>
          <w:szCs w:val="24"/>
        </w:rPr>
      </w:pPr>
      <w:r w:rsidRPr="004674CC">
        <w:rPr>
          <w:rStyle w:val="FootnoteReference"/>
          <w:sz w:val="24"/>
          <w:szCs w:val="24"/>
        </w:rPr>
        <w:footnoteRef/>
      </w:r>
      <w:r w:rsidRPr="004674CC">
        <w:rPr>
          <w:sz w:val="24"/>
          <w:szCs w:val="24"/>
        </w:rPr>
        <w:t xml:space="preserve"> </w:t>
      </w:r>
      <w:r>
        <w:rPr>
          <w:sz w:val="24"/>
          <w:szCs w:val="24"/>
        </w:rPr>
        <w:t>См. Информационное сообщение ИС-учет-36.</w:t>
      </w:r>
    </w:p>
  </w:footnote>
  <w:footnote w:id="3">
    <w:p w14:paraId="042C53BC" w14:textId="77777777" w:rsidR="00470A9B" w:rsidRPr="008B36E4" w:rsidRDefault="00470A9B" w:rsidP="00470A9B">
      <w:pPr>
        <w:pStyle w:val="FootnoteText"/>
        <w:rPr>
          <w:sz w:val="24"/>
          <w:szCs w:val="24"/>
        </w:rPr>
      </w:pPr>
      <w:r w:rsidRPr="008B36E4">
        <w:rPr>
          <w:rStyle w:val="FootnoteReference"/>
          <w:sz w:val="24"/>
          <w:szCs w:val="24"/>
        </w:rPr>
        <w:footnoteRef/>
      </w:r>
      <w:r w:rsidRPr="008B36E4">
        <w:rPr>
          <w:sz w:val="24"/>
          <w:szCs w:val="24"/>
        </w:rPr>
        <w:t xml:space="preserve"> </w:t>
      </w:r>
      <w:r>
        <w:rPr>
          <w:sz w:val="24"/>
          <w:szCs w:val="24"/>
        </w:rPr>
        <w:t>См. Информационное сообщение ИС-аудит-50.</w:t>
      </w:r>
    </w:p>
  </w:footnote>
  <w:footnote w:id="4">
    <w:p w14:paraId="33950C2B" w14:textId="77777777" w:rsidR="00640D77" w:rsidRPr="00036D67" w:rsidRDefault="00640D77" w:rsidP="00036D67">
      <w:pPr>
        <w:pStyle w:val="FootnoteText"/>
        <w:ind w:left="142" w:firstLine="39"/>
        <w:rPr>
          <w:sz w:val="24"/>
          <w:szCs w:val="24"/>
        </w:rPr>
      </w:pPr>
      <w:r w:rsidRPr="00036D67">
        <w:rPr>
          <w:rStyle w:val="FootnoteReference"/>
          <w:sz w:val="24"/>
          <w:szCs w:val="24"/>
        </w:rPr>
        <w:footnoteRef/>
      </w:r>
      <w:r w:rsidRPr="00036D67">
        <w:rPr>
          <w:sz w:val="24"/>
          <w:szCs w:val="24"/>
        </w:rPr>
        <w:t xml:space="preserve"> Аналогично ФНС России ограничивает доступ к бухгалтерской отчетности организаций, которые подавали подобные заявления до 18 марта 2022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4695713"/>
      <w:docPartObj>
        <w:docPartGallery w:val="Page Numbers (Top of Page)"/>
        <w:docPartUnique/>
      </w:docPartObj>
    </w:sdtPr>
    <w:sdtEndPr/>
    <w:sdtContent>
      <w:p w14:paraId="5D0A1775" w14:textId="77777777" w:rsidR="00531822" w:rsidRDefault="005318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99A">
          <w:rPr>
            <w:noProof/>
          </w:rPr>
          <w:t>2</w:t>
        </w:r>
        <w:r>
          <w:fldChar w:fldCharType="end"/>
        </w:r>
      </w:p>
    </w:sdtContent>
  </w:sdt>
  <w:p w14:paraId="6732C057" w14:textId="77777777" w:rsidR="00531822" w:rsidRDefault="00531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65A"/>
    <w:rsid w:val="00002252"/>
    <w:rsid w:val="00003ED5"/>
    <w:rsid w:val="00010C5E"/>
    <w:rsid w:val="000177EB"/>
    <w:rsid w:val="00017CC4"/>
    <w:rsid w:val="00021A5D"/>
    <w:rsid w:val="000304A0"/>
    <w:rsid w:val="0003297C"/>
    <w:rsid w:val="00036D67"/>
    <w:rsid w:val="00037A7A"/>
    <w:rsid w:val="00040892"/>
    <w:rsid w:val="000454A6"/>
    <w:rsid w:val="00056DEF"/>
    <w:rsid w:val="0006131F"/>
    <w:rsid w:val="00065384"/>
    <w:rsid w:val="00066355"/>
    <w:rsid w:val="00067CA6"/>
    <w:rsid w:val="00070673"/>
    <w:rsid w:val="00071B1C"/>
    <w:rsid w:val="00073D0D"/>
    <w:rsid w:val="0007551C"/>
    <w:rsid w:val="000812DF"/>
    <w:rsid w:val="000836A3"/>
    <w:rsid w:val="00083B6E"/>
    <w:rsid w:val="00085655"/>
    <w:rsid w:val="00085910"/>
    <w:rsid w:val="0008720C"/>
    <w:rsid w:val="00090168"/>
    <w:rsid w:val="00093CD3"/>
    <w:rsid w:val="00095D64"/>
    <w:rsid w:val="00096A31"/>
    <w:rsid w:val="000A0E20"/>
    <w:rsid w:val="000A2D2D"/>
    <w:rsid w:val="000A3131"/>
    <w:rsid w:val="000A671D"/>
    <w:rsid w:val="000A7C78"/>
    <w:rsid w:val="000B06DD"/>
    <w:rsid w:val="000B521D"/>
    <w:rsid w:val="000C31A9"/>
    <w:rsid w:val="000C3370"/>
    <w:rsid w:val="000C62AE"/>
    <w:rsid w:val="000C64B5"/>
    <w:rsid w:val="000D665A"/>
    <w:rsid w:val="000E229B"/>
    <w:rsid w:val="000E4B5C"/>
    <w:rsid w:val="000E4F5F"/>
    <w:rsid w:val="000E61B4"/>
    <w:rsid w:val="000E729A"/>
    <w:rsid w:val="000F1814"/>
    <w:rsid w:val="000F5ED8"/>
    <w:rsid w:val="000F78A2"/>
    <w:rsid w:val="0010086C"/>
    <w:rsid w:val="0010339B"/>
    <w:rsid w:val="00114A13"/>
    <w:rsid w:val="00116751"/>
    <w:rsid w:val="001207BC"/>
    <w:rsid w:val="00122922"/>
    <w:rsid w:val="0012570B"/>
    <w:rsid w:val="00130C07"/>
    <w:rsid w:val="00131317"/>
    <w:rsid w:val="001313E9"/>
    <w:rsid w:val="00132E0B"/>
    <w:rsid w:val="001361E1"/>
    <w:rsid w:val="00143219"/>
    <w:rsid w:val="001441F3"/>
    <w:rsid w:val="0015170E"/>
    <w:rsid w:val="00151DC8"/>
    <w:rsid w:val="001538C2"/>
    <w:rsid w:val="0015758A"/>
    <w:rsid w:val="00161657"/>
    <w:rsid w:val="0016184D"/>
    <w:rsid w:val="00162528"/>
    <w:rsid w:val="00165800"/>
    <w:rsid w:val="001709C6"/>
    <w:rsid w:val="00170BDC"/>
    <w:rsid w:val="001745FE"/>
    <w:rsid w:val="00176906"/>
    <w:rsid w:val="00176A1C"/>
    <w:rsid w:val="0017730E"/>
    <w:rsid w:val="001816B7"/>
    <w:rsid w:val="00183E8C"/>
    <w:rsid w:val="00185E76"/>
    <w:rsid w:val="00191FC9"/>
    <w:rsid w:val="001921B2"/>
    <w:rsid w:val="00196E82"/>
    <w:rsid w:val="001A1015"/>
    <w:rsid w:val="001A3E50"/>
    <w:rsid w:val="001A75A4"/>
    <w:rsid w:val="001B46D4"/>
    <w:rsid w:val="001C158B"/>
    <w:rsid w:val="001C1779"/>
    <w:rsid w:val="001C30B3"/>
    <w:rsid w:val="001D11BF"/>
    <w:rsid w:val="001D2486"/>
    <w:rsid w:val="001D2D1C"/>
    <w:rsid w:val="001D36E9"/>
    <w:rsid w:val="001F0D3C"/>
    <w:rsid w:val="001F7D00"/>
    <w:rsid w:val="002005E0"/>
    <w:rsid w:val="00201421"/>
    <w:rsid w:val="002071DC"/>
    <w:rsid w:val="002100EC"/>
    <w:rsid w:val="00211587"/>
    <w:rsid w:val="00212547"/>
    <w:rsid w:val="00212565"/>
    <w:rsid w:val="00213200"/>
    <w:rsid w:val="00213AB0"/>
    <w:rsid w:val="00220EBA"/>
    <w:rsid w:val="00225ADC"/>
    <w:rsid w:val="00235BFD"/>
    <w:rsid w:val="002365A6"/>
    <w:rsid w:val="0023673B"/>
    <w:rsid w:val="0024032D"/>
    <w:rsid w:val="00241A1E"/>
    <w:rsid w:val="00245255"/>
    <w:rsid w:val="0024532D"/>
    <w:rsid w:val="00251BCB"/>
    <w:rsid w:val="002550E9"/>
    <w:rsid w:val="00255AEB"/>
    <w:rsid w:val="002560BB"/>
    <w:rsid w:val="00260A39"/>
    <w:rsid w:val="00261280"/>
    <w:rsid w:val="0026142A"/>
    <w:rsid w:val="00265A81"/>
    <w:rsid w:val="002723E8"/>
    <w:rsid w:val="00273A5E"/>
    <w:rsid w:val="00275228"/>
    <w:rsid w:val="00275777"/>
    <w:rsid w:val="00281751"/>
    <w:rsid w:val="00281C56"/>
    <w:rsid w:val="002831A3"/>
    <w:rsid w:val="0028651C"/>
    <w:rsid w:val="00286E83"/>
    <w:rsid w:val="002942D9"/>
    <w:rsid w:val="002A2D25"/>
    <w:rsid w:val="002B00C7"/>
    <w:rsid w:val="002B0B04"/>
    <w:rsid w:val="002B74EF"/>
    <w:rsid w:val="002C0C9F"/>
    <w:rsid w:val="002C2F0C"/>
    <w:rsid w:val="002C492D"/>
    <w:rsid w:val="002C7AEC"/>
    <w:rsid w:val="002C7B96"/>
    <w:rsid w:val="002D0628"/>
    <w:rsid w:val="002D1F55"/>
    <w:rsid w:val="002D23A4"/>
    <w:rsid w:val="002D5753"/>
    <w:rsid w:val="002F049D"/>
    <w:rsid w:val="002F1DBE"/>
    <w:rsid w:val="002F4532"/>
    <w:rsid w:val="002F5AA9"/>
    <w:rsid w:val="0030169B"/>
    <w:rsid w:val="00303A1C"/>
    <w:rsid w:val="0030514B"/>
    <w:rsid w:val="00305421"/>
    <w:rsid w:val="00310FB7"/>
    <w:rsid w:val="003112E2"/>
    <w:rsid w:val="00312303"/>
    <w:rsid w:val="00314E6B"/>
    <w:rsid w:val="003200DC"/>
    <w:rsid w:val="003269A6"/>
    <w:rsid w:val="00340F5F"/>
    <w:rsid w:val="00341D91"/>
    <w:rsid w:val="00365905"/>
    <w:rsid w:val="0037046C"/>
    <w:rsid w:val="003718C3"/>
    <w:rsid w:val="003819FC"/>
    <w:rsid w:val="0038416F"/>
    <w:rsid w:val="00390919"/>
    <w:rsid w:val="003A611F"/>
    <w:rsid w:val="003A6203"/>
    <w:rsid w:val="003A7D9A"/>
    <w:rsid w:val="003B1BA0"/>
    <w:rsid w:val="003B4019"/>
    <w:rsid w:val="003C30B0"/>
    <w:rsid w:val="003D5926"/>
    <w:rsid w:val="003E016D"/>
    <w:rsid w:val="003E0C0A"/>
    <w:rsid w:val="003E531D"/>
    <w:rsid w:val="003E778A"/>
    <w:rsid w:val="003F33F2"/>
    <w:rsid w:val="003F365D"/>
    <w:rsid w:val="003F5AA9"/>
    <w:rsid w:val="00400739"/>
    <w:rsid w:val="00400B53"/>
    <w:rsid w:val="0040473C"/>
    <w:rsid w:val="00407B90"/>
    <w:rsid w:val="00407E54"/>
    <w:rsid w:val="0041007E"/>
    <w:rsid w:val="00424871"/>
    <w:rsid w:val="00431F64"/>
    <w:rsid w:val="004347C6"/>
    <w:rsid w:val="0043529E"/>
    <w:rsid w:val="0043534C"/>
    <w:rsid w:val="00435D75"/>
    <w:rsid w:val="00440E3F"/>
    <w:rsid w:val="004456A9"/>
    <w:rsid w:val="00445ECD"/>
    <w:rsid w:val="00446E02"/>
    <w:rsid w:val="00457B95"/>
    <w:rsid w:val="004629A6"/>
    <w:rsid w:val="0046529D"/>
    <w:rsid w:val="004674CC"/>
    <w:rsid w:val="00470A9B"/>
    <w:rsid w:val="00474A90"/>
    <w:rsid w:val="00475DAF"/>
    <w:rsid w:val="004770AC"/>
    <w:rsid w:val="004908B4"/>
    <w:rsid w:val="0049650E"/>
    <w:rsid w:val="004B0518"/>
    <w:rsid w:val="004B2139"/>
    <w:rsid w:val="004C3647"/>
    <w:rsid w:val="004C4D84"/>
    <w:rsid w:val="004C5C4A"/>
    <w:rsid w:val="004C6E57"/>
    <w:rsid w:val="004C7F63"/>
    <w:rsid w:val="004D56D3"/>
    <w:rsid w:val="004D5C84"/>
    <w:rsid w:val="004D6472"/>
    <w:rsid w:val="004D6AF7"/>
    <w:rsid w:val="004D7E7F"/>
    <w:rsid w:val="004F1EE6"/>
    <w:rsid w:val="004F6A22"/>
    <w:rsid w:val="005018CF"/>
    <w:rsid w:val="00505EDD"/>
    <w:rsid w:val="0050628A"/>
    <w:rsid w:val="005119FC"/>
    <w:rsid w:val="0052127D"/>
    <w:rsid w:val="00521D9F"/>
    <w:rsid w:val="00525463"/>
    <w:rsid w:val="005254E3"/>
    <w:rsid w:val="00527EC1"/>
    <w:rsid w:val="00531822"/>
    <w:rsid w:val="0053692E"/>
    <w:rsid w:val="00536E34"/>
    <w:rsid w:val="00537CE5"/>
    <w:rsid w:val="00544601"/>
    <w:rsid w:val="00545B04"/>
    <w:rsid w:val="00545D8D"/>
    <w:rsid w:val="00546B26"/>
    <w:rsid w:val="00546BDE"/>
    <w:rsid w:val="00546E97"/>
    <w:rsid w:val="00550DED"/>
    <w:rsid w:val="00550ED6"/>
    <w:rsid w:val="00560FCC"/>
    <w:rsid w:val="00563F35"/>
    <w:rsid w:val="005647C8"/>
    <w:rsid w:val="005670D3"/>
    <w:rsid w:val="005705A1"/>
    <w:rsid w:val="00570850"/>
    <w:rsid w:val="0057508E"/>
    <w:rsid w:val="00576AE3"/>
    <w:rsid w:val="00587770"/>
    <w:rsid w:val="005905DD"/>
    <w:rsid w:val="00594D45"/>
    <w:rsid w:val="005A3E97"/>
    <w:rsid w:val="005A53AA"/>
    <w:rsid w:val="005A55FA"/>
    <w:rsid w:val="005B2073"/>
    <w:rsid w:val="005B4D7A"/>
    <w:rsid w:val="005B6B71"/>
    <w:rsid w:val="005B7BC9"/>
    <w:rsid w:val="005D4C55"/>
    <w:rsid w:val="005E1288"/>
    <w:rsid w:val="005E66D6"/>
    <w:rsid w:val="005E67CB"/>
    <w:rsid w:val="005E79A0"/>
    <w:rsid w:val="005F097C"/>
    <w:rsid w:val="005F1FB0"/>
    <w:rsid w:val="005F4320"/>
    <w:rsid w:val="005F506C"/>
    <w:rsid w:val="005F7505"/>
    <w:rsid w:val="00601261"/>
    <w:rsid w:val="00603FCC"/>
    <w:rsid w:val="006041B9"/>
    <w:rsid w:val="00604C55"/>
    <w:rsid w:val="00604DC9"/>
    <w:rsid w:val="006053B0"/>
    <w:rsid w:val="00612535"/>
    <w:rsid w:val="006129D4"/>
    <w:rsid w:val="00626386"/>
    <w:rsid w:val="00630922"/>
    <w:rsid w:val="00636B29"/>
    <w:rsid w:val="00637FA8"/>
    <w:rsid w:val="00640D77"/>
    <w:rsid w:val="006414CA"/>
    <w:rsid w:val="00644DB2"/>
    <w:rsid w:val="00651E8C"/>
    <w:rsid w:val="00653BDA"/>
    <w:rsid w:val="006600AA"/>
    <w:rsid w:val="006606CD"/>
    <w:rsid w:val="00662210"/>
    <w:rsid w:val="006623F8"/>
    <w:rsid w:val="00666085"/>
    <w:rsid w:val="006718E1"/>
    <w:rsid w:val="00673BB7"/>
    <w:rsid w:val="00673E6D"/>
    <w:rsid w:val="00675543"/>
    <w:rsid w:val="00675A46"/>
    <w:rsid w:val="00675AEB"/>
    <w:rsid w:val="006767C0"/>
    <w:rsid w:val="00680957"/>
    <w:rsid w:val="00680D23"/>
    <w:rsid w:val="00682A56"/>
    <w:rsid w:val="00685AB5"/>
    <w:rsid w:val="00686A8E"/>
    <w:rsid w:val="00687A64"/>
    <w:rsid w:val="006904EC"/>
    <w:rsid w:val="00696E51"/>
    <w:rsid w:val="006A07DD"/>
    <w:rsid w:val="006B39E5"/>
    <w:rsid w:val="006B5028"/>
    <w:rsid w:val="006B5740"/>
    <w:rsid w:val="006B6F79"/>
    <w:rsid w:val="006D4B1F"/>
    <w:rsid w:val="006D77D4"/>
    <w:rsid w:val="006E0383"/>
    <w:rsid w:val="006E19A2"/>
    <w:rsid w:val="006E4F96"/>
    <w:rsid w:val="006F3D8D"/>
    <w:rsid w:val="006F52A6"/>
    <w:rsid w:val="0070603C"/>
    <w:rsid w:val="00714212"/>
    <w:rsid w:val="00721558"/>
    <w:rsid w:val="00723DDC"/>
    <w:rsid w:val="0072441D"/>
    <w:rsid w:val="00737411"/>
    <w:rsid w:val="007424B4"/>
    <w:rsid w:val="00743160"/>
    <w:rsid w:val="007437A6"/>
    <w:rsid w:val="0074399C"/>
    <w:rsid w:val="00750C6E"/>
    <w:rsid w:val="00757AF3"/>
    <w:rsid w:val="00761689"/>
    <w:rsid w:val="00763557"/>
    <w:rsid w:val="007645E5"/>
    <w:rsid w:val="00766877"/>
    <w:rsid w:val="007672A6"/>
    <w:rsid w:val="00772137"/>
    <w:rsid w:val="00772E4A"/>
    <w:rsid w:val="007772E6"/>
    <w:rsid w:val="007821B6"/>
    <w:rsid w:val="00782D76"/>
    <w:rsid w:val="0078319F"/>
    <w:rsid w:val="00783DFE"/>
    <w:rsid w:val="00784382"/>
    <w:rsid w:val="00784D51"/>
    <w:rsid w:val="00787189"/>
    <w:rsid w:val="00792143"/>
    <w:rsid w:val="007937CC"/>
    <w:rsid w:val="00794FFB"/>
    <w:rsid w:val="007A3C2E"/>
    <w:rsid w:val="007A7888"/>
    <w:rsid w:val="007B13BD"/>
    <w:rsid w:val="007B2110"/>
    <w:rsid w:val="007B719B"/>
    <w:rsid w:val="007B7354"/>
    <w:rsid w:val="007C05A5"/>
    <w:rsid w:val="007C275C"/>
    <w:rsid w:val="007D1BF8"/>
    <w:rsid w:val="007D4DC5"/>
    <w:rsid w:val="007D4FDF"/>
    <w:rsid w:val="007D61AD"/>
    <w:rsid w:val="007E45D1"/>
    <w:rsid w:val="007E79D6"/>
    <w:rsid w:val="00800AD6"/>
    <w:rsid w:val="00802938"/>
    <w:rsid w:val="0080475B"/>
    <w:rsid w:val="0080508E"/>
    <w:rsid w:val="00806C1B"/>
    <w:rsid w:val="00810843"/>
    <w:rsid w:val="00810938"/>
    <w:rsid w:val="008112A7"/>
    <w:rsid w:val="0081245D"/>
    <w:rsid w:val="00816F5F"/>
    <w:rsid w:val="0082238D"/>
    <w:rsid w:val="00822E47"/>
    <w:rsid w:val="00825767"/>
    <w:rsid w:val="00825D18"/>
    <w:rsid w:val="00826204"/>
    <w:rsid w:val="00836A45"/>
    <w:rsid w:val="008377C5"/>
    <w:rsid w:val="00840281"/>
    <w:rsid w:val="00843B71"/>
    <w:rsid w:val="00851D14"/>
    <w:rsid w:val="00852051"/>
    <w:rsid w:val="00852A02"/>
    <w:rsid w:val="00855867"/>
    <w:rsid w:val="00855E8B"/>
    <w:rsid w:val="00856A0D"/>
    <w:rsid w:val="00864096"/>
    <w:rsid w:val="008670FB"/>
    <w:rsid w:val="00873AEA"/>
    <w:rsid w:val="0087668E"/>
    <w:rsid w:val="008767E2"/>
    <w:rsid w:val="008857DA"/>
    <w:rsid w:val="0088627B"/>
    <w:rsid w:val="008865E9"/>
    <w:rsid w:val="008878AF"/>
    <w:rsid w:val="008944D9"/>
    <w:rsid w:val="008A2317"/>
    <w:rsid w:val="008A515D"/>
    <w:rsid w:val="008A6734"/>
    <w:rsid w:val="008A6F83"/>
    <w:rsid w:val="008A7460"/>
    <w:rsid w:val="008B1C9E"/>
    <w:rsid w:val="008B31B0"/>
    <w:rsid w:val="008B36E4"/>
    <w:rsid w:val="008B405C"/>
    <w:rsid w:val="008B559C"/>
    <w:rsid w:val="008C0959"/>
    <w:rsid w:val="008C19EA"/>
    <w:rsid w:val="008C26C9"/>
    <w:rsid w:val="008D0CB8"/>
    <w:rsid w:val="008D37C5"/>
    <w:rsid w:val="008D412D"/>
    <w:rsid w:val="008D799A"/>
    <w:rsid w:val="008E2036"/>
    <w:rsid w:val="008E2F5F"/>
    <w:rsid w:val="008F0411"/>
    <w:rsid w:val="008F1963"/>
    <w:rsid w:val="008F7416"/>
    <w:rsid w:val="009010C7"/>
    <w:rsid w:val="009067DE"/>
    <w:rsid w:val="00910177"/>
    <w:rsid w:val="009104D0"/>
    <w:rsid w:val="0091220A"/>
    <w:rsid w:val="00913931"/>
    <w:rsid w:val="00913E00"/>
    <w:rsid w:val="00915DA4"/>
    <w:rsid w:val="009174B7"/>
    <w:rsid w:val="0094298D"/>
    <w:rsid w:val="00942AB3"/>
    <w:rsid w:val="00945915"/>
    <w:rsid w:val="00946C78"/>
    <w:rsid w:val="00950A41"/>
    <w:rsid w:val="0095421F"/>
    <w:rsid w:val="009555E8"/>
    <w:rsid w:val="00965A9E"/>
    <w:rsid w:val="00967772"/>
    <w:rsid w:val="00971738"/>
    <w:rsid w:val="00972C93"/>
    <w:rsid w:val="009778CC"/>
    <w:rsid w:val="00980FAC"/>
    <w:rsid w:val="0098427D"/>
    <w:rsid w:val="009842CF"/>
    <w:rsid w:val="00984B65"/>
    <w:rsid w:val="009860C4"/>
    <w:rsid w:val="00986BD5"/>
    <w:rsid w:val="009876EA"/>
    <w:rsid w:val="009932F5"/>
    <w:rsid w:val="00993CD5"/>
    <w:rsid w:val="0099430D"/>
    <w:rsid w:val="00996553"/>
    <w:rsid w:val="00997E3F"/>
    <w:rsid w:val="009A0045"/>
    <w:rsid w:val="009A0FBE"/>
    <w:rsid w:val="009A3300"/>
    <w:rsid w:val="009B3631"/>
    <w:rsid w:val="009B75AC"/>
    <w:rsid w:val="009B761E"/>
    <w:rsid w:val="009B7DBA"/>
    <w:rsid w:val="009C119D"/>
    <w:rsid w:val="009C72C3"/>
    <w:rsid w:val="009C72CE"/>
    <w:rsid w:val="009D55E0"/>
    <w:rsid w:val="009D6933"/>
    <w:rsid w:val="009D7643"/>
    <w:rsid w:val="009E31BA"/>
    <w:rsid w:val="009E4689"/>
    <w:rsid w:val="009E5626"/>
    <w:rsid w:val="009F0195"/>
    <w:rsid w:val="009F2996"/>
    <w:rsid w:val="009F3C49"/>
    <w:rsid w:val="009F6D98"/>
    <w:rsid w:val="009F72AD"/>
    <w:rsid w:val="00A03AC2"/>
    <w:rsid w:val="00A05B7C"/>
    <w:rsid w:val="00A13D66"/>
    <w:rsid w:val="00A15BF6"/>
    <w:rsid w:val="00A17906"/>
    <w:rsid w:val="00A2317C"/>
    <w:rsid w:val="00A242CE"/>
    <w:rsid w:val="00A26662"/>
    <w:rsid w:val="00A27279"/>
    <w:rsid w:val="00A3432A"/>
    <w:rsid w:val="00A34EB1"/>
    <w:rsid w:val="00A36C9A"/>
    <w:rsid w:val="00A43D15"/>
    <w:rsid w:val="00A43DCE"/>
    <w:rsid w:val="00A508FC"/>
    <w:rsid w:val="00A51486"/>
    <w:rsid w:val="00A53807"/>
    <w:rsid w:val="00A54896"/>
    <w:rsid w:val="00A54D93"/>
    <w:rsid w:val="00A56356"/>
    <w:rsid w:val="00A56E93"/>
    <w:rsid w:val="00A578C6"/>
    <w:rsid w:val="00A601AA"/>
    <w:rsid w:val="00A637B3"/>
    <w:rsid w:val="00A6786C"/>
    <w:rsid w:val="00A7047B"/>
    <w:rsid w:val="00A72A55"/>
    <w:rsid w:val="00A80E4E"/>
    <w:rsid w:val="00A84AB2"/>
    <w:rsid w:val="00A84DE9"/>
    <w:rsid w:val="00A90184"/>
    <w:rsid w:val="00A90E5D"/>
    <w:rsid w:val="00AA2B3C"/>
    <w:rsid w:val="00AA7723"/>
    <w:rsid w:val="00AB2FCB"/>
    <w:rsid w:val="00AB3E61"/>
    <w:rsid w:val="00AB40A9"/>
    <w:rsid w:val="00AB56A1"/>
    <w:rsid w:val="00AC35A4"/>
    <w:rsid w:val="00AC628F"/>
    <w:rsid w:val="00AC6F1A"/>
    <w:rsid w:val="00AD5B44"/>
    <w:rsid w:val="00AD72EC"/>
    <w:rsid w:val="00AE1227"/>
    <w:rsid w:val="00AE52CC"/>
    <w:rsid w:val="00AE62BA"/>
    <w:rsid w:val="00AF0B54"/>
    <w:rsid w:val="00AF2BCE"/>
    <w:rsid w:val="00AF768D"/>
    <w:rsid w:val="00B05418"/>
    <w:rsid w:val="00B05D23"/>
    <w:rsid w:val="00B07BDE"/>
    <w:rsid w:val="00B1236D"/>
    <w:rsid w:val="00B14DDA"/>
    <w:rsid w:val="00B23122"/>
    <w:rsid w:val="00B265C8"/>
    <w:rsid w:val="00B315EB"/>
    <w:rsid w:val="00B350B9"/>
    <w:rsid w:val="00B36CD9"/>
    <w:rsid w:val="00B442E3"/>
    <w:rsid w:val="00B47228"/>
    <w:rsid w:val="00B47B7B"/>
    <w:rsid w:val="00B505FF"/>
    <w:rsid w:val="00B5450C"/>
    <w:rsid w:val="00B56BB0"/>
    <w:rsid w:val="00B7276C"/>
    <w:rsid w:val="00B8164A"/>
    <w:rsid w:val="00B85A07"/>
    <w:rsid w:val="00B9029B"/>
    <w:rsid w:val="00BA5E69"/>
    <w:rsid w:val="00BB1874"/>
    <w:rsid w:val="00BB2510"/>
    <w:rsid w:val="00BB54E0"/>
    <w:rsid w:val="00BC0ED9"/>
    <w:rsid w:val="00BC1BDB"/>
    <w:rsid w:val="00BC1DF7"/>
    <w:rsid w:val="00BC3B83"/>
    <w:rsid w:val="00BC7927"/>
    <w:rsid w:val="00BD0470"/>
    <w:rsid w:val="00BD4091"/>
    <w:rsid w:val="00BD49AB"/>
    <w:rsid w:val="00BD638F"/>
    <w:rsid w:val="00BD756E"/>
    <w:rsid w:val="00BD7708"/>
    <w:rsid w:val="00BE1999"/>
    <w:rsid w:val="00BE56BF"/>
    <w:rsid w:val="00BE64C4"/>
    <w:rsid w:val="00BF0E1F"/>
    <w:rsid w:val="00BF3460"/>
    <w:rsid w:val="00BF41AA"/>
    <w:rsid w:val="00BF7933"/>
    <w:rsid w:val="00BF7CB7"/>
    <w:rsid w:val="00C031D2"/>
    <w:rsid w:val="00C043B3"/>
    <w:rsid w:val="00C043C5"/>
    <w:rsid w:val="00C062AE"/>
    <w:rsid w:val="00C10D00"/>
    <w:rsid w:val="00C1165A"/>
    <w:rsid w:val="00C2526A"/>
    <w:rsid w:val="00C3116C"/>
    <w:rsid w:val="00C37381"/>
    <w:rsid w:val="00C44D57"/>
    <w:rsid w:val="00C50B44"/>
    <w:rsid w:val="00C624C7"/>
    <w:rsid w:val="00C62B41"/>
    <w:rsid w:val="00C67423"/>
    <w:rsid w:val="00C71D64"/>
    <w:rsid w:val="00C759D0"/>
    <w:rsid w:val="00C76C7C"/>
    <w:rsid w:val="00C81400"/>
    <w:rsid w:val="00C8514F"/>
    <w:rsid w:val="00C8582F"/>
    <w:rsid w:val="00C864F2"/>
    <w:rsid w:val="00C977CE"/>
    <w:rsid w:val="00CA081F"/>
    <w:rsid w:val="00CA30A7"/>
    <w:rsid w:val="00CA43E9"/>
    <w:rsid w:val="00CA46FD"/>
    <w:rsid w:val="00CA531F"/>
    <w:rsid w:val="00CA54E0"/>
    <w:rsid w:val="00CA64D3"/>
    <w:rsid w:val="00CA71E8"/>
    <w:rsid w:val="00CB004B"/>
    <w:rsid w:val="00CB1B29"/>
    <w:rsid w:val="00CB4040"/>
    <w:rsid w:val="00CB4796"/>
    <w:rsid w:val="00CB62E8"/>
    <w:rsid w:val="00CB646B"/>
    <w:rsid w:val="00CB6A01"/>
    <w:rsid w:val="00CB6CE4"/>
    <w:rsid w:val="00CC1EED"/>
    <w:rsid w:val="00CC1F5B"/>
    <w:rsid w:val="00CD0221"/>
    <w:rsid w:val="00CD171F"/>
    <w:rsid w:val="00CD7FAF"/>
    <w:rsid w:val="00CE34B6"/>
    <w:rsid w:val="00CE5E4A"/>
    <w:rsid w:val="00CF0FD0"/>
    <w:rsid w:val="00D0114D"/>
    <w:rsid w:val="00D13464"/>
    <w:rsid w:val="00D161F9"/>
    <w:rsid w:val="00D225D2"/>
    <w:rsid w:val="00D36B51"/>
    <w:rsid w:val="00D42731"/>
    <w:rsid w:val="00D44B3A"/>
    <w:rsid w:val="00D47EED"/>
    <w:rsid w:val="00D5051C"/>
    <w:rsid w:val="00D521CB"/>
    <w:rsid w:val="00D55120"/>
    <w:rsid w:val="00D60C4E"/>
    <w:rsid w:val="00D72491"/>
    <w:rsid w:val="00D727A3"/>
    <w:rsid w:val="00D74060"/>
    <w:rsid w:val="00D777CA"/>
    <w:rsid w:val="00D8321B"/>
    <w:rsid w:val="00D86EB2"/>
    <w:rsid w:val="00D90CF1"/>
    <w:rsid w:val="00D92864"/>
    <w:rsid w:val="00D94F14"/>
    <w:rsid w:val="00D96A6C"/>
    <w:rsid w:val="00DA2E33"/>
    <w:rsid w:val="00DA738C"/>
    <w:rsid w:val="00DB2C85"/>
    <w:rsid w:val="00DB30B7"/>
    <w:rsid w:val="00DD08A0"/>
    <w:rsid w:val="00DD505D"/>
    <w:rsid w:val="00DD6C71"/>
    <w:rsid w:val="00DE2E65"/>
    <w:rsid w:val="00DE3DF8"/>
    <w:rsid w:val="00DE3FA9"/>
    <w:rsid w:val="00DE5B58"/>
    <w:rsid w:val="00DF2C31"/>
    <w:rsid w:val="00DF2C78"/>
    <w:rsid w:val="00DF3FEC"/>
    <w:rsid w:val="00DF72C8"/>
    <w:rsid w:val="00DF75F1"/>
    <w:rsid w:val="00E13276"/>
    <w:rsid w:val="00E2022D"/>
    <w:rsid w:val="00E203FE"/>
    <w:rsid w:val="00E22FA8"/>
    <w:rsid w:val="00E27684"/>
    <w:rsid w:val="00E27932"/>
    <w:rsid w:val="00E31205"/>
    <w:rsid w:val="00E35454"/>
    <w:rsid w:val="00E36A83"/>
    <w:rsid w:val="00E37D25"/>
    <w:rsid w:val="00E42E5F"/>
    <w:rsid w:val="00E442E3"/>
    <w:rsid w:val="00E52AFE"/>
    <w:rsid w:val="00E546DC"/>
    <w:rsid w:val="00E55C20"/>
    <w:rsid w:val="00E567BB"/>
    <w:rsid w:val="00E56F78"/>
    <w:rsid w:val="00E57E4E"/>
    <w:rsid w:val="00E6074A"/>
    <w:rsid w:val="00E62572"/>
    <w:rsid w:val="00E7198D"/>
    <w:rsid w:val="00E72A05"/>
    <w:rsid w:val="00E73019"/>
    <w:rsid w:val="00E76E45"/>
    <w:rsid w:val="00E850BE"/>
    <w:rsid w:val="00E92E67"/>
    <w:rsid w:val="00E9348E"/>
    <w:rsid w:val="00EA1580"/>
    <w:rsid w:val="00EB33E9"/>
    <w:rsid w:val="00EB3D17"/>
    <w:rsid w:val="00EB65D0"/>
    <w:rsid w:val="00EB667B"/>
    <w:rsid w:val="00EB69FE"/>
    <w:rsid w:val="00EC074A"/>
    <w:rsid w:val="00EC23F6"/>
    <w:rsid w:val="00EC2907"/>
    <w:rsid w:val="00EC4EEE"/>
    <w:rsid w:val="00EC7A94"/>
    <w:rsid w:val="00ED1BA2"/>
    <w:rsid w:val="00ED1E81"/>
    <w:rsid w:val="00ED30E7"/>
    <w:rsid w:val="00ED5FBA"/>
    <w:rsid w:val="00EE270F"/>
    <w:rsid w:val="00EE682C"/>
    <w:rsid w:val="00EF221F"/>
    <w:rsid w:val="00EF42F4"/>
    <w:rsid w:val="00EF5621"/>
    <w:rsid w:val="00F04CA3"/>
    <w:rsid w:val="00F11990"/>
    <w:rsid w:val="00F13BF3"/>
    <w:rsid w:val="00F155E9"/>
    <w:rsid w:val="00F16F99"/>
    <w:rsid w:val="00F233AB"/>
    <w:rsid w:val="00F258F9"/>
    <w:rsid w:val="00F33216"/>
    <w:rsid w:val="00F37D9A"/>
    <w:rsid w:val="00F400D1"/>
    <w:rsid w:val="00F4362E"/>
    <w:rsid w:val="00F446C0"/>
    <w:rsid w:val="00F448CC"/>
    <w:rsid w:val="00F47E25"/>
    <w:rsid w:val="00F50524"/>
    <w:rsid w:val="00F5584E"/>
    <w:rsid w:val="00F566DC"/>
    <w:rsid w:val="00F577F2"/>
    <w:rsid w:val="00F62F37"/>
    <w:rsid w:val="00F6381D"/>
    <w:rsid w:val="00F652A2"/>
    <w:rsid w:val="00F72CD9"/>
    <w:rsid w:val="00F77EC6"/>
    <w:rsid w:val="00F8131C"/>
    <w:rsid w:val="00F827B1"/>
    <w:rsid w:val="00F853F8"/>
    <w:rsid w:val="00F878C7"/>
    <w:rsid w:val="00F91D30"/>
    <w:rsid w:val="00F95E0B"/>
    <w:rsid w:val="00F95E3C"/>
    <w:rsid w:val="00F97B9A"/>
    <w:rsid w:val="00FA118A"/>
    <w:rsid w:val="00FA2062"/>
    <w:rsid w:val="00FA491C"/>
    <w:rsid w:val="00FA65DB"/>
    <w:rsid w:val="00FB30AD"/>
    <w:rsid w:val="00FB506E"/>
    <w:rsid w:val="00FC56AD"/>
    <w:rsid w:val="00FD2C46"/>
    <w:rsid w:val="00FD4779"/>
    <w:rsid w:val="00FD47DE"/>
    <w:rsid w:val="00FD6B07"/>
    <w:rsid w:val="00FD6E89"/>
    <w:rsid w:val="00FE117B"/>
    <w:rsid w:val="00FE339D"/>
    <w:rsid w:val="00FF40EE"/>
    <w:rsid w:val="00FF54A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9C25"/>
  <w15:docId w15:val="{0E7678C4-D87C-4330-98E4-D51B8B75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18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601A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C6E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57"/>
  </w:style>
  <w:style w:type="paragraph" w:styleId="Footer">
    <w:name w:val="footer"/>
    <w:basedOn w:val="Normal"/>
    <w:link w:val="FooterChar"/>
    <w:uiPriority w:val="99"/>
    <w:unhideWhenUsed/>
    <w:rsid w:val="004C6E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57"/>
  </w:style>
  <w:style w:type="table" w:styleId="TableGrid">
    <w:name w:val="Table Grid"/>
    <w:basedOn w:val="TableNormal"/>
    <w:uiPriority w:val="59"/>
    <w:rsid w:val="00FF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38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CA64D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28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AE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5A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5A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5A81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275228"/>
    <w:pPr>
      <w:ind w:firstLine="709"/>
      <w:jc w:val="left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5228"/>
    <w:rPr>
      <w:lang w:eastAsia="ru-RU"/>
    </w:rPr>
  </w:style>
  <w:style w:type="paragraph" w:customStyle="1" w:styleId="ConsPlusTitle">
    <w:name w:val="ConsPlusTitle"/>
    <w:rsid w:val="00E567BB"/>
    <w:pPr>
      <w:autoSpaceDE w:val="0"/>
      <w:autoSpaceDN w:val="0"/>
      <w:adjustRightInd w:val="0"/>
      <w:ind w:firstLine="0"/>
      <w:jc w:val="left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8B6478E-F522-4609-9790-889E63A0D1EF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32810</vt:lpwstr>
  </property>
  <property fmtid="{D5CDD505-2E9C-101B-9397-08002B2CF9AE}" pid="4" name="OptimizationTime">
    <vt:lpwstr>20220323_1748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ПЫЛЕВА ИРИНА АНАТОЛЬЕВНА</dc:creator>
  <cp:lastModifiedBy>КОСТИНА ЛЮДМИЛА ЭДУАРДОВНА</cp:lastModifiedBy>
  <cp:revision>32</cp:revision>
  <cp:lastPrinted>2022-01-11T13:31:00Z</cp:lastPrinted>
  <dcterms:created xsi:type="dcterms:W3CDTF">2022-03-22T06:22:00Z</dcterms:created>
  <dcterms:modified xsi:type="dcterms:W3CDTF">2022-03-23T10:05:00Z</dcterms:modified>
</cp:coreProperties>
</file>