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57"/>
        <w:tblW w:w="10611" w:type="dxa"/>
        <w:tblLayout w:type="fixed"/>
        <w:tblLook w:val="01E0" w:firstRow="1" w:lastRow="1" w:firstColumn="1" w:lastColumn="1" w:noHBand="0" w:noVBand="0"/>
      </w:tblPr>
      <w:tblGrid>
        <w:gridCol w:w="2221"/>
        <w:gridCol w:w="7350"/>
        <w:gridCol w:w="1040"/>
      </w:tblGrid>
      <w:tr w:rsidR="00A56A94" w:rsidRPr="00A56A94" w14:paraId="6FF7A7F7" w14:textId="77777777" w:rsidTr="00106BA2">
        <w:trPr>
          <w:trHeight w:val="1090"/>
        </w:trPr>
        <w:tc>
          <w:tcPr>
            <w:tcW w:w="2221" w:type="dxa"/>
            <w:vMerge w:val="restart"/>
          </w:tcPr>
          <w:p w14:paraId="26674352" w14:textId="77777777" w:rsidR="00A56A94" w:rsidRPr="00A56A94" w:rsidRDefault="00A56A94" w:rsidP="00A56A94">
            <w:pPr>
              <w:spacing w:after="0" w:line="240" w:lineRule="auto"/>
              <w:ind w:left="-426" w:firstLine="460"/>
              <w:jc w:val="both"/>
              <w:rPr>
                <w:rFonts w:ascii="Times New Roman" w:eastAsia="Times New Roman" w:hAnsi="Times New Roman" w:cs="Times New Roman"/>
                <w:sz w:val="24"/>
                <w:szCs w:val="24"/>
                <w:lang w:eastAsia="ru-RU"/>
              </w:rPr>
            </w:pPr>
            <w:r w:rsidRPr="00A56A94">
              <w:rPr>
                <w:rFonts w:ascii="Times New Roman" w:eastAsia="Times New Roman" w:hAnsi="Times New Roman" w:cs="Times New Roman"/>
                <w:noProof/>
                <w:sz w:val="24"/>
                <w:szCs w:val="24"/>
              </w:rPr>
              <w:drawing>
                <wp:inline distT="0" distB="0" distL="0" distR="0" wp14:anchorId="42600407" wp14:editId="78876206">
                  <wp:extent cx="1295400" cy="1343025"/>
                  <wp:effectExtent l="0" t="0" r="0" b="9525"/>
                  <wp:docPr id="3" name="Рисунок 3" descr="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343025"/>
                          </a:xfrm>
                          <a:prstGeom prst="rect">
                            <a:avLst/>
                          </a:prstGeom>
                          <a:noFill/>
                          <a:ln>
                            <a:noFill/>
                          </a:ln>
                        </pic:spPr>
                      </pic:pic>
                    </a:graphicData>
                  </a:graphic>
                </wp:inline>
              </w:drawing>
            </w:r>
          </w:p>
          <w:p w14:paraId="628E783B" w14:textId="77777777" w:rsidR="00A56A94" w:rsidRPr="00A56A94" w:rsidRDefault="00A56A94" w:rsidP="00A56A94">
            <w:pPr>
              <w:spacing w:after="0" w:line="240" w:lineRule="auto"/>
              <w:ind w:left="34"/>
              <w:jc w:val="both"/>
              <w:rPr>
                <w:rFonts w:ascii="Times New Roman" w:eastAsia="Times New Roman" w:hAnsi="Times New Roman" w:cs="Times New Roman"/>
                <w:sz w:val="24"/>
                <w:szCs w:val="24"/>
                <w:lang w:val="ru-RU" w:eastAsia="ru-RU"/>
              </w:rPr>
            </w:pPr>
          </w:p>
        </w:tc>
        <w:tc>
          <w:tcPr>
            <w:tcW w:w="7350" w:type="dxa"/>
          </w:tcPr>
          <w:p w14:paraId="0EA7484D" w14:textId="77777777" w:rsidR="00A56A94" w:rsidRPr="00A56A94" w:rsidRDefault="00A56A94" w:rsidP="00A56A94">
            <w:pPr>
              <w:spacing w:after="0" w:line="240" w:lineRule="auto"/>
              <w:ind w:left="-108" w:right="-187"/>
              <w:jc w:val="center"/>
              <w:rPr>
                <w:rFonts w:ascii="Times New Roman" w:eastAsia="Times New Roman" w:hAnsi="Times New Roman" w:cs="Arial"/>
                <w:b/>
                <w:color w:val="132455"/>
                <w:sz w:val="24"/>
                <w:szCs w:val="24"/>
                <w:lang w:val="ru-RU" w:eastAsia="ru-RU"/>
              </w:rPr>
            </w:pPr>
            <w:r w:rsidRPr="00A56A94">
              <w:rPr>
                <w:rFonts w:ascii="Times New Roman" w:eastAsia="Times New Roman" w:hAnsi="Times New Roman" w:cs="Arial"/>
                <w:b/>
                <w:color w:val="132455"/>
                <w:sz w:val="24"/>
                <w:szCs w:val="24"/>
                <w:lang w:val="ru-RU" w:eastAsia="ru-RU"/>
              </w:rPr>
              <w:t>САМОРЕГУЛИРУЕМАЯ ОРГАНИЗАЦИЯ АУДИТОРОВ</w:t>
            </w:r>
          </w:p>
          <w:p w14:paraId="428D75C8" w14:textId="77777777" w:rsidR="00A56A94" w:rsidRPr="00A56A94" w:rsidRDefault="00A56A94" w:rsidP="00A56A94">
            <w:pPr>
              <w:spacing w:after="0" w:line="240" w:lineRule="auto"/>
              <w:jc w:val="center"/>
              <w:rPr>
                <w:rFonts w:ascii="Times New Roman" w:eastAsia="Times New Roman" w:hAnsi="Times New Roman" w:cs="Arial"/>
                <w:b/>
                <w:color w:val="132455"/>
                <w:sz w:val="20"/>
                <w:szCs w:val="20"/>
                <w:lang w:val="ru-RU" w:eastAsia="ru-RU"/>
              </w:rPr>
            </w:pPr>
            <w:r w:rsidRPr="00A56A94">
              <w:rPr>
                <w:rFonts w:ascii="Times New Roman" w:eastAsia="Times New Roman" w:hAnsi="Times New Roman" w:cs="Arial"/>
                <w:b/>
                <w:color w:val="132455"/>
                <w:sz w:val="24"/>
                <w:szCs w:val="24"/>
                <w:lang w:val="ru-RU" w:eastAsia="ru-RU"/>
              </w:rPr>
              <w:t xml:space="preserve">     </w:t>
            </w:r>
            <w:r w:rsidRPr="00A56A94">
              <w:rPr>
                <w:rFonts w:ascii="Times New Roman" w:eastAsia="Times New Roman" w:hAnsi="Times New Roman" w:cs="Arial"/>
                <w:b/>
                <w:color w:val="132455"/>
                <w:sz w:val="29"/>
                <w:szCs w:val="29"/>
                <w:lang w:val="ru-RU" w:eastAsia="ru-RU"/>
              </w:rPr>
              <w:t>АССОЦИАЦИЯ «СОДРУЖЕСТВО»</w:t>
            </w:r>
            <w:r w:rsidRPr="00A56A94">
              <w:rPr>
                <w:rFonts w:ascii="Times New Roman" w:eastAsia="Times New Roman" w:hAnsi="Times New Roman" w:cs="Times New Roman"/>
                <w:sz w:val="29"/>
                <w:szCs w:val="29"/>
                <w:lang w:val="ru-RU" w:eastAsia="ru-RU"/>
              </w:rPr>
              <w:t xml:space="preserve"> </w:t>
            </w:r>
            <w:r w:rsidRPr="00A56A94">
              <w:rPr>
                <w:rFonts w:ascii="Times New Roman" w:eastAsia="Times New Roman" w:hAnsi="Times New Roman" w:cs="Times New Roman"/>
                <w:sz w:val="28"/>
                <w:szCs w:val="28"/>
                <w:lang w:val="ru-RU" w:eastAsia="ru-RU"/>
              </w:rPr>
              <w:br/>
            </w:r>
            <w:r w:rsidRPr="00A56A94">
              <w:rPr>
                <w:rFonts w:ascii="Times New Roman" w:eastAsia="Times New Roman" w:hAnsi="Times New Roman" w:cs="Times New Roman"/>
                <w:b/>
                <w:color w:val="002060"/>
                <w:sz w:val="20"/>
                <w:szCs w:val="20"/>
                <w:lang w:val="ru-RU" w:eastAsia="ru-RU"/>
              </w:rPr>
              <w:t>член Международной Федерации Бухгалтеров (</w:t>
            </w:r>
            <w:r w:rsidRPr="00A56A94">
              <w:rPr>
                <w:rFonts w:ascii="Times New Roman" w:eastAsia="Times New Roman" w:hAnsi="Times New Roman" w:cs="Times New Roman"/>
                <w:b/>
                <w:color w:val="002060"/>
                <w:sz w:val="20"/>
                <w:szCs w:val="20"/>
                <w:lang w:eastAsia="ru-RU"/>
              </w:rPr>
              <w:t>IFAC</w:t>
            </w:r>
            <w:r w:rsidRPr="00A56A94">
              <w:rPr>
                <w:rFonts w:ascii="Times New Roman" w:eastAsia="Times New Roman" w:hAnsi="Times New Roman" w:cs="Times New Roman"/>
                <w:b/>
                <w:color w:val="002060"/>
                <w:sz w:val="20"/>
                <w:szCs w:val="20"/>
                <w:lang w:val="ru-RU" w:eastAsia="ru-RU"/>
              </w:rPr>
              <w:t>)</w:t>
            </w:r>
          </w:p>
          <w:p w14:paraId="47EC6242" w14:textId="77777777" w:rsidR="00A56A94" w:rsidRPr="00A56A94" w:rsidRDefault="00A56A94" w:rsidP="00A56A94">
            <w:pPr>
              <w:pBdr>
                <w:bottom w:val="single" w:sz="12" w:space="1" w:color="auto"/>
              </w:pBdr>
              <w:spacing w:after="0" w:line="240" w:lineRule="auto"/>
              <w:ind w:left="-108" w:right="-187"/>
              <w:jc w:val="center"/>
              <w:rPr>
                <w:rFonts w:ascii="Times New Roman" w:eastAsia="Times New Roman" w:hAnsi="Times New Roman" w:cs="Arial"/>
                <w:color w:val="132455"/>
                <w:sz w:val="20"/>
                <w:szCs w:val="20"/>
                <w:lang w:val="ru-RU" w:eastAsia="ru-RU"/>
              </w:rPr>
            </w:pPr>
            <w:r w:rsidRPr="00A56A94">
              <w:rPr>
                <w:rFonts w:ascii="Times New Roman" w:eastAsia="Times New Roman" w:hAnsi="Times New Roman" w:cs="Arial"/>
                <w:color w:val="132455"/>
                <w:sz w:val="20"/>
                <w:szCs w:val="20"/>
                <w:lang w:val="ru-RU" w:eastAsia="ru-RU"/>
              </w:rPr>
              <w:t>(ОГРН 1097799010870,</w:t>
            </w:r>
            <w:r w:rsidRPr="00A56A94">
              <w:rPr>
                <w:rFonts w:ascii="Times New Roman" w:eastAsia="Times New Roman" w:hAnsi="Times New Roman" w:cs="Arial"/>
                <w:color w:val="132455"/>
                <w:sz w:val="20"/>
                <w:szCs w:val="20"/>
                <w:lang w:eastAsia="ru-RU"/>
              </w:rPr>
              <w:t xml:space="preserve"> </w:t>
            </w:r>
            <w:r w:rsidRPr="00A56A94">
              <w:rPr>
                <w:rFonts w:ascii="Times New Roman" w:eastAsia="Times New Roman" w:hAnsi="Times New Roman" w:cs="Arial"/>
                <w:color w:val="132455"/>
                <w:sz w:val="20"/>
                <w:szCs w:val="20"/>
                <w:lang w:val="ru-RU" w:eastAsia="ru-RU"/>
              </w:rPr>
              <w:t>ИНН 7729440813, КПП 772901001)</w:t>
            </w:r>
            <w:r w:rsidRPr="00A56A94">
              <w:rPr>
                <w:rFonts w:ascii="Times New Roman" w:eastAsia="Times New Roman" w:hAnsi="Times New Roman" w:cs="Times New Roman"/>
                <w:sz w:val="24"/>
                <w:szCs w:val="24"/>
                <w:lang w:val="ru-RU" w:eastAsia="ru-RU"/>
              </w:rPr>
              <w:t xml:space="preserve"> </w:t>
            </w:r>
          </w:p>
        </w:tc>
        <w:tc>
          <w:tcPr>
            <w:tcW w:w="1040" w:type="dxa"/>
            <w:vMerge w:val="restart"/>
            <w:tcBorders>
              <w:left w:val="nil"/>
            </w:tcBorders>
          </w:tcPr>
          <w:p w14:paraId="52824755" w14:textId="77777777" w:rsidR="00A56A94" w:rsidRPr="00A56A94" w:rsidRDefault="00A56A94" w:rsidP="00A56A94">
            <w:pPr>
              <w:spacing w:after="0" w:line="240" w:lineRule="auto"/>
              <w:rPr>
                <w:rFonts w:ascii="Times New Roman" w:eastAsia="Times New Roman" w:hAnsi="Times New Roman" w:cs="Arial"/>
                <w:color w:val="132455"/>
                <w:sz w:val="20"/>
                <w:szCs w:val="20"/>
                <w:lang w:eastAsia="ru-RU"/>
              </w:rPr>
            </w:pPr>
          </w:p>
          <w:p w14:paraId="6AF75B0C" w14:textId="77777777" w:rsidR="00A56A94" w:rsidRPr="00A56A94" w:rsidRDefault="00A56A94" w:rsidP="00A56A94">
            <w:pPr>
              <w:spacing w:after="0" w:line="240" w:lineRule="auto"/>
              <w:rPr>
                <w:rFonts w:ascii="Times New Roman" w:eastAsia="Times New Roman" w:hAnsi="Times New Roman" w:cs="Times New Roman"/>
                <w:sz w:val="24"/>
                <w:szCs w:val="24"/>
                <w:lang w:eastAsia="ru-RU"/>
              </w:rPr>
            </w:pPr>
          </w:p>
          <w:p w14:paraId="2E6CCD07" w14:textId="77777777" w:rsidR="00A56A94" w:rsidRPr="00A56A94" w:rsidRDefault="00A56A94" w:rsidP="00A56A94">
            <w:pPr>
              <w:spacing w:after="0" w:line="240" w:lineRule="auto"/>
              <w:rPr>
                <w:rFonts w:ascii="Times New Roman" w:eastAsia="Times New Roman" w:hAnsi="Times New Roman" w:cs="Times New Roman"/>
                <w:sz w:val="24"/>
                <w:szCs w:val="24"/>
                <w:lang w:eastAsia="ru-RU"/>
              </w:rPr>
            </w:pPr>
          </w:p>
          <w:p w14:paraId="1F024E27" w14:textId="77777777" w:rsidR="00A56A94" w:rsidRPr="00A56A94" w:rsidRDefault="00A56A94" w:rsidP="00A56A94">
            <w:pPr>
              <w:spacing w:after="0" w:line="240" w:lineRule="auto"/>
              <w:rPr>
                <w:rFonts w:ascii="Times New Roman" w:eastAsia="Times New Roman" w:hAnsi="Times New Roman" w:cs="Arial"/>
                <w:color w:val="132455"/>
                <w:sz w:val="20"/>
                <w:szCs w:val="20"/>
                <w:lang w:eastAsia="ru-RU"/>
              </w:rPr>
            </w:pPr>
            <w:r w:rsidRPr="00A56A94">
              <w:rPr>
                <w:rFonts w:ascii="Times New Roman" w:eastAsia="Times New Roman" w:hAnsi="Times New Roman" w:cs="Times New Roman"/>
                <w:noProof/>
                <w:sz w:val="24"/>
                <w:szCs w:val="24"/>
              </w:rPr>
              <w:drawing>
                <wp:inline distT="0" distB="0" distL="0" distR="0" wp14:anchorId="7CC86614" wp14:editId="2F010EAB">
                  <wp:extent cx="542925" cy="419100"/>
                  <wp:effectExtent l="0" t="0" r="9525" b="0"/>
                  <wp:docPr id="1" name="Рисунок 1" descr="IFAC_name_associate_no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AC_name_associate_no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p>
          <w:p w14:paraId="367CE205" w14:textId="77777777" w:rsidR="00A56A94" w:rsidRPr="00A56A94" w:rsidRDefault="00A56A94" w:rsidP="00A56A94">
            <w:pPr>
              <w:spacing w:after="0" w:line="240" w:lineRule="auto"/>
              <w:ind w:right="-187"/>
              <w:jc w:val="center"/>
              <w:rPr>
                <w:rFonts w:ascii="Times New Roman" w:eastAsia="Times New Roman" w:hAnsi="Times New Roman" w:cs="Arial"/>
                <w:color w:val="132455"/>
                <w:sz w:val="20"/>
                <w:szCs w:val="20"/>
                <w:lang w:val="ru-RU" w:eastAsia="ru-RU"/>
              </w:rPr>
            </w:pPr>
          </w:p>
        </w:tc>
      </w:tr>
      <w:tr w:rsidR="00A56A94" w:rsidRPr="00703F9E" w14:paraId="1A14829D" w14:textId="77777777" w:rsidTr="00106BA2">
        <w:trPr>
          <w:trHeight w:val="747"/>
        </w:trPr>
        <w:tc>
          <w:tcPr>
            <w:tcW w:w="2221" w:type="dxa"/>
            <w:vMerge/>
          </w:tcPr>
          <w:p w14:paraId="0AF399E2" w14:textId="77777777" w:rsidR="00A56A94" w:rsidRPr="00A56A94" w:rsidRDefault="00A56A94" w:rsidP="00A56A94">
            <w:pPr>
              <w:spacing w:after="0" w:line="240" w:lineRule="auto"/>
              <w:rPr>
                <w:rFonts w:ascii="Times New Roman" w:eastAsia="Times New Roman" w:hAnsi="Times New Roman" w:cs="Times New Roman"/>
                <w:sz w:val="24"/>
                <w:szCs w:val="24"/>
                <w:lang w:val="ru-RU" w:eastAsia="ru-RU"/>
              </w:rPr>
            </w:pPr>
          </w:p>
        </w:tc>
        <w:tc>
          <w:tcPr>
            <w:tcW w:w="7350" w:type="dxa"/>
          </w:tcPr>
          <w:p w14:paraId="3E631CFD" w14:textId="77777777" w:rsidR="00A56A94" w:rsidRPr="00A56A94" w:rsidRDefault="00A56A94" w:rsidP="00A56A94">
            <w:pPr>
              <w:spacing w:after="0" w:line="240" w:lineRule="auto"/>
              <w:ind w:left="-108" w:right="-187"/>
              <w:jc w:val="center"/>
              <w:rPr>
                <w:rFonts w:ascii="Times New Roman" w:eastAsia="Times New Roman" w:hAnsi="Times New Roman" w:cs="Arial"/>
                <w:color w:val="132455"/>
                <w:sz w:val="20"/>
                <w:szCs w:val="20"/>
                <w:lang w:val="ru-RU" w:eastAsia="ru-RU"/>
              </w:rPr>
            </w:pPr>
            <w:r w:rsidRPr="00A56A94">
              <w:rPr>
                <w:rFonts w:ascii="Times New Roman" w:eastAsia="Times New Roman" w:hAnsi="Times New Roman" w:cs="Arial"/>
                <w:color w:val="132455"/>
                <w:sz w:val="20"/>
                <w:szCs w:val="20"/>
                <w:lang w:val="ru-RU" w:eastAsia="ru-RU"/>
              </w:rPr>
              <w:t>119192, г. Москва, Мичуринский проспект, дом 21, корпус 4.</w:t>
            </w:r>
            <w:r w:rsidRPr="00A56A94">
              <w:rPr>
                <w:rFonts w:ascii="Times New Roman" w:eastAsia="Times New Roman" w:hAnsi="Times New Roman" w:cs="Times New Roman"/>
                <w:sz w:val="24"/>
                <w:szCs w:val="24"/>
                <w:lang w:val="ru-RU" w:eastAsia="ru-RU"/>
              </w:rPr>
              <w:t xml:space="preserve"> </w:t>
            </w:r>
          </w:p>
          <w:p w14:paraId="7B5BDDFD" w14:textId="77777777" w:rsidR="00A56A94" w:rsidRPr="00A56A94" w:rsidRDefault="00A56A94" w:rsidP="00A56A94">
            <w:pPr>
              <w:spacing w:after="0" w:line="240" w:lineRule="auto"/>
              <w:ind w:left="-108" w:right="-108"/>
              <w:jc w:val="center"/>
              <w:rPr>
                <w:rFonts w:ascii="Times New Roman" w:eastAsia="Times New Roman" w:hAnsi="Times New Roman" w:cs="Arial"/>
                <w:sz w:val="20"/>
                <w:szCs w:val="20"/>
                <w:lang w:val="ru-RU" w:eastAsia="ru-RU"/>
              </w:rPr>
            </w:pPr>
            <w:r w:rsidRPr="00A56A94">
              <w:rPr>
                <w:rFonts w:ascii="Times New Roman" w:eastAsia="Times New Roman" w:hAnsi="Times New Roman" w:cs="Arial"/>
                <w:color w:val="132455"/>
                <w:sz w:val="20"/>
                <w:szCs w:val="20"/>
                <w:lang w:val="ru-RU" w:eastAsia="ru-RU"/>
              </w:rPr>
              <w:t>т: +7 (495) 734-22-22, ф: +7 (495) 734-04-22,</w:t>
            </w:r>
            <w:r w:rsidRPr="00A56A94">
              <w:rPr>
                <w:rFonts w:ascii="Times New Roman" w:eastAsia="Times New Roman" w:hAnsi="Times New Roman" w:cs="Arial"/>
                <w:b/>
                <w:color w:val="132455"/>
                <w:sz w:val="20"/>
                <w:szCs w:val="20"/>
                <w:lang w:val="ru-RU" w:eastAsia="ru-RU"/>
              </w:rPr>
              <w:t xml:space="preserve"> </w:t>
            </w:r>
            <w:hyperlink w:history="1">
              <w:r w:rsidRPr="00A56A94">
                <w:rPr>
                  <w:rFonts w:ascii="Times New Roman" w:eastAsia="Times New Roman" w:hAnsi="Times New Roman" w:cs="Arial"/>
                  <w:color w:val="0563C1"/>
                  <w:sz w:val="20"/>
                  <w:szCs w:val="20"/>
                  <w:u w:val="single"/>
                  <w:lang w:eastAsia="ru-RU"/>
                </w:rPr>
                <w:t>www</w:t>
              </w:r>
              <w:r w:rsidRPr="00A56A94">
                <w:rPr>
                  <w:rFonts w:ascii="Times New Roman" w:eastAsia="Times New Roman" w:hAnsi="Times New Roman" w:cs="Arial"/>
                  <w:color w:val="0563C1"/>
                  <w:sz w:val="20"/>
                  <w:szCs w:val="20"/>
                  <w:u w:val="single"/>
                  <w:lang w:val="ru-RU" w:eastAsia="ru-RU"/>
                </w:rPr>
                <w:t>.</w:t>
              </w:r>
              <w:r w:rsidRPr="00A56A94">
                <w:rPr>
                  <w:rFonts w:ascii="Times New Roman" w:eastAsia="Times New Roman" w:hAnsi="Times New Roman" w:cs="Arial"/>
                  <w:color w:val="0563C1"/>
                  <w:sz w:val="20"/>
                  <w:szCs w:val="20"/>
                  <w:u w:val="single"/>
                  <w:lang w:eastAsia="ru-RU"/>
                </w:rPr>
                <w:t>sroaas</w:t>
              </w:r>
              <w:r w:rsidRPr="00A56A94">
                <w:rPr>
                  <w:rFonts w:ascii="Times New Roman" w:eastAsia="Times New Roman" w:hAnsi="Times New Roman" w:cs="Arial"/>
                  <w:color w:val="0563C1"/>
                  <w:sz w:val="20"/>
                  <w:szCs w:val="20"/>
                  <w:u w:val="single"/>
                  <w:lang w:val="ru-RU" w:eastAsia="ru-RU"/>
                </w:rPr>
                <w:t>.</w:t>
              </w:r>
              <w:r w:rsidRPr="00A56A94">
                <w:rPr>
                  <w:rFonts w:ascii="Times New Roman" w:eastAsia="Times New Roman" w:hAnsi="Times New Roman" w:cs="Arial"/>
                  <w:color w:val="0563C1"/>
                  <w:sz w:val="20"/>
                  <w:szCs w:val="20"/>
                  <w:u w:val="single"/>
                  <w:lang w:eastAsia="ru-RU"/>
                </w:rPr>
                <w:t>ru</w:t>
              </w:r>
              <w:r w:rsidRPr="00A56A94">
                <w:rPr>
                  <w:rFonts w:ascii="Times New Roman" w:eastAsia="Times New Roman" w:hAnsi="Times New Roman" w:cs="Arial"/>
                  <w:color w:val="0563C1"/>
                  <w:sz w:val="20"/>
                  <w:szCs w:val="20"/>
                  <w:u w:val="single"/>
                  <w:lang w:val="ru-RU" w:eastAsia="ru-RU"/>
                </w:rPr>
                <w:t xml:space="preserve"> </w:t>
              </w:r>
            </w:hyperlink>
            <w:r w:rsidRPr="00A56A94">
              <w:rPr>
                <w:rFonts w:ascii="Times New Roman" w:eastAsia="Times New Roman" w:hAnsi="Times New Roman" w:cs="Arial"/>
                <w:color w:val="0070C0"/>
                <w:sz w:val="20"/>
                <w:szCs w:val="20"/>
                <w:lang w:val="ru-RU" w:eastAsia="ru-RU"/>
              </w:rPr>
              <w:t>,</w:t>
            </w:r>
            <w:r w:rsidRPr="00A56A94">
              <w:rPr>
                <w:rFonts w:ascii="Times New Roman" w:eastAsia="Times New Roman" w:hAnsi="Times New Roman" w:cs="Arial"/>
                <w:b/>
                <w:color w:val="0070C0"/>
                <w:sz w:val="20"/>
                <w:szCs w:val="20"/>
                <w:lang w:val="ru-RU" w:eastAsia="ru-RU"/>
              </w:rPr>
              <w:t xml:space="preserve"> </w:t>
            </w:r>
            <w:r w:rsidRPr="00A56A94">
              <w:rPr>
                <w:rFonts w:ascii="Times New Roman" w:eastAsia="Times New Roman" w:hAnsi="Times New Roman" w:cs="Arial"/>
                <w:sz w:val="20"/>
                <w:szCs w:val="20"/>
                <w:lang w:eastAsia="ru-RU"/>
              </w:rPr>
              <w:t>info</w:t>
            </w:r>
            <w:r w:rsidRPr="00A56A94">
              <w:rPr>
                <w:rFonts w:ascii="Times New Roman" w:eastAsia="Times New Roman" w:hAnsi="Times New Roman" w:cs="Arial"/>
                <w:sz w:val="20"/>
                <w:szCs w:val="20"/>
                <w:lang w:val="ru-RU" w:eastAsia="ru-RU"/>
              </w:rPr>
              <w:t>@</w:t>
            </w:r>
            <w:r w:rsidRPr="00A56A94">
              <w:rPr>
                <w:rFonts w:ascii="Times New Roman" w:eastAsia="Times New Roman" w:hAnsi="Times New Roman" w:cs="Arial"/>
                <w:sz w:val="20"/>
                <w:szCs w:val="20"/>
                <w:lang w:eastAsia="ru-RU"/>
              </w:rPr>
              <w:t>sroaas</w:t>
            </w:r>
            <w:r w:rsidRPr="00A56A94">
              <w:rPr>
                <w:rFonts w:ascii="Times New Roman" w:eastAsia="Times New Roman" w:hAnsi="Times New Roman" w:cs="Arial"/>
                <w:sz w:val="20"/>
                <w:szCs w:val="20"/>
                <w:lang w:val="ru-RU" w:eastAsia="ru-RU"/>
              </w:rPr>
              <w:t>.</w:t>
            </w:r>
            <w:r w:rsidRPr="00A56A94">
              <w:rPr>
                <w:rFonts w:ascii="Times New Roman" w:eastAsia="Times New Roman" w:hAnsi="Times New Roman" w:cs="Arial"/>
                <w:sz w:val="20"/>
                <w:szCs w:val="20"/>
                <w:lang w:eastAsia="ru-RU"/>
              </w:rPr>
              <w:t>ru</w:t>
            </w:r>
          </w:p>
        </w:tc>
        <w:tc>
          <w:tcPr>
            <w:tcW w:w="1040" w:type="dxa"/>
            <w:vMerge/>
            <w:tcBorders>
              <w:left w:val="nil"/>
            </w:tcBorders>
          </w:tcPr>
          <w:p w14:paraId="0E602913" w14:textId="77777777" w:rsidR="00A56A94" w:rsidRPr="00A56A94" w:rsidRDefault="00A56A94" w:rsidP="00A56A94">
            <w:pPr>
              <w:spacing w:after="0" w:line="240" w:lineRule="auto"/>
              <w:ind w:right="-187"/>
              <w:jc w:val="center"/>
              <w:rPr>
                <w:rFonts w:ascii="Times New Roman" w:eastAsia="Times New Roman" w:hAnsi="Times New Roman" w:cs="Arial"/>
                <w:color w:val="132455"/>
                <w:sz w:val="20"/>
                <w:szCs w:val="20"/>
                <w:lang w:val="ru-RU" w:eastAsia="ru-RU"/>
              </w:rPr>
            </w:pPr>
          </w:p>
        </w:tc>
      </w:tr>
      <w:tr w:rsidR="00A56A94" w:rsidRPr="00703F9E" w14:paraId="0DC464E9" w14:textId="77777777" w:rsidTr="00106BA2">
        <w:trPr>
          <w:trHeight w:val="250"/>
        </w:trPr>
        <w:tc>
          <w:tcPr>
            <w:tcW w:w="2221" w:type="dxa"/>
          </w:tcPr>
          <w:p w14:paraId="1FE38A2B" w14:textId="77777777" w:rsidR="00A56A94" w:rsidRPr="00A56A94" w:rsidRDefault="00A56A94" w:rsidP="00A56A94">
            <w:pPr>
              <w:spacing w:after="0" w:line="240" w:lineRule="auto"/>
              <w:rPr>
                <w:rFonts w:ascii="Times New Roman" w:eastAsia="Times New Roman" w:hAnsi="Times New Roman" w:cs="Times New Roman"/>
                <w:sz w:val="24"/>
                <w:szCs w:val="24"/>
                <w:lang w:val="ru-RU" w:eastAsia="ru-RU"/>
              </w:rPr>
            </w:pPr>
          </w:p>
        </w:tc>
        <w:tc>
          <w:tcPr>
            <w:tcW w:w="7350" w:type="dxa"/>
          </w:tcPr>
          <w:p w14:paraId="773851E2" w14:textId="77777777" w:rsidR="00A56A94" w:rsidRPr="00A56A94" w:rsidRDefault="00A56A94" w:rsidP="00A56A94">
            <w:pPr>
              <w:spacing w:after="0" w:line="240" w:lineRule="auto"/>
              <w:ind w:left="-108" w:right="-187"/>
              <w:jc w:val="center"/>
              <w:rPr>
                <w:rFonts w:ascii="Times New Roman" w:eastAsia="Times New Roman" w:hAnsi="Times New Roman" w:cs="Arial"/>
                <w:b/>
                <w:bCs/>
                <w:color w:val="132455"/>
                <w:sz w:val="24"/>
                <w:szCs w:val="24"/>
                <w:lang w:val="ru-RU" w:eastAsia="ru-RU"/>
              </w:rPr>
            </w:pPr>
          </w:p>
        </w:tc>
        <w:tc>
          <w:tcPr>
            <w:tcW w:w="1040" w:type="dxa"/>
            <w:tcBorders>
              <w:left w:val="nil"/>
            </w:tcBorders>
          </w:tcPr>
          <w:p w14:paraId="46AA4922" w14:textId="77777777" w:rsidR="00A56A94" w:rsidRPr="00A56A94" w:rsidRDefault="00A56A94" w:rsidP="00A56A94">
            <w:pPr>
              <w:spacing w:after="0" w:line="240" w:lineRule="auto"/>
              <w:ind w:right="-187"/>
              <w:jc w:val="center"/>
              <w:rPr>
                <w:rFonts w:ascii="Times New Roman" w:eastAsia="Times New Roman" w:hAnsi="Times New Roman" w:cs="Arial"/>
                <w:color w:val="132455"/>
                <w:sz w:val="20"/>
                <w:szCs w:val="20"/>
                <w:lang w:val="ru-RU" w:eastAsia="ru-RU"/>
              </w:rPr>
            </w:pPr>
          </w:p>
        </w:tc>
      </w:tr>
    </w:tbl>
    <w:p w14:paraId="2C8082F7" w14:textId="0A52B3E9" w:rsidR="00E47277" w:rsidRPr="00703F9E" w:rsidRDefault="00E47277" w:rsidP="00E47277">
      <w:pPr>
        <w:spacing w:after="0" w:line="240" w:lineRule="auto"/>
        <w:jc w:val="center"/>
        <w:rPr>
          <w:rFonts w:ascii="Times New Roman" w:hAnsi="Times New Roman" w:cs="Times New Roman"/>
          <w:b/>
          <w:sz w:val="25"/>
          <w:szCs w:val="25"/>
          <w:lang w:val="ru-RU"/>
        </w:rPr>
      </w:pPr>
      <w:r w:rsidRPr="00703F9E">
        <w:rPr>
          <w:rFonts w:ascii="Times New Roman" w:hAnsi="Times New Roman" w:cs="Times New Roman"/>
          <w:b/>
          <w:sz w:val="25"/>
          <w:szCs w:val="25"/>
          <w:lang w:val="ru-RU"/>
        </w:rPr>
        <w:t>Комитет по профессиональной этике и независимости аудиторов</w:t>
      </w:r>
    </w:p>
    <w:p w14:paraId="21CCB7DB" w14:textId="77777777" w:rsidR="00E47277" w:rsidRPr="00E47277" w:rsidRDefault="00E47277" w:rsidP="00E47277">
      <w:pPr>
        <w:spacing w:after="0" w:line="240" w:lineRule="auto"/>
        <w:jc w:val="center"/>
        <w:rPr>
          <w:rFonts w:ascii="Times New Roman" w:hAnsi="Times New Roman" w:cs="Times New Roman"/>
          <w:b/>
          <w:bCs/>
          <w:color w:val="0070C0"/>
          <w:sz w:val="25"/>
          <w:szCs w:val="25"/>
          <w:lang w:val="ru-RU"/>
        </w:rPr>
      </w:pPr>
    </w:p>
    <w:p w14:paraId="011F2940" w14:textId="72374A99" w:rsidR="00E47277" w:rsidRPr="00E47277" w:rsidRDefault="00E47277" w:rsidP="00E47277">
      <w:pPr>
        <w:spacing w:after="0" w:line="240" w:lineRule="auto"/>
        <w:jc w:val="center"/>
        <w:rPr>
          <w:rFonts w:ascii="Times New Roman" w:hAnsi="Times New Roman" w:cs="Times New Roman"/>
          <w:bCs/>
          <w:sz w:val="25"/>
          <w:szCs w:val="25"/>
          <w:lang w:val="ru-RU"/>
        </w:rPr>
      </w:pPr>
      <w:r w:rsidRPr="00E47277">
        <w:rPr>
          <w:rFonts w:ascii="Times New Roman" w:hAnsi="Times New Roman" w:cs="Times New Roman"/>
          <w:bCs/>
          <w:sz w:val="25"/>
          <w:szCs w:val="25"/>
          <w:lang w:val="ru-RU"/>
        </w:rPr>
        <w:t>Разъяснение позиции по теме:</w:t>
      </w:r>
    </w:p>
    <w:p w14:paraId="664F1EDB" w14:textId="45B6079A" w:rsidR="003B74A0" w:rsidRDefault="003B74A0" w:rsidP="00E47277">
      <w:pPr>
        <w:spacing w:after="0" w:line="240" w:lineRule="auto"/>
        <w:jc w:val="center"/>
        <w:rPr>
          <w:rFonts w:ascii="Times New Roman" w:hAnsi="Times New Roman" w:cs="Times New Roman"/>
          <w:b/>
          <w:sz w:val="25"/>
          <w:szCs w:val="25"/>
          <w:lang w:val="ru-RU"/>
        </w:rPr>
      </w:pPr>
      <w:r w:rsidRPr="00E47277">
        <w:rPr>
          <w:rFonts w:ascii="Times New Roman" w:hAnsi="Times New Roman" w:cs="Times New Roman"/>
          <w:b/>
          <w:sz w:val="25"/>
          <w:szCs w:val="25"/>
          <w:lang w:val="ru-RU"/>
        </w:rPr>
        <w:t>Рекомендуемый подход к определению надлежащего проверяющего лица, привлеченного для проведения проверки качества выполнения соответствующего аудиторского задания перед представлением аудиторского заключения согласно пункту 2.11.Т Правил независимости</w:t>
      </w:r>
    </w:p>
    <w:p w14:paraId="734E7DE0" w14:textId="253FFFE6" w:rsidR="00E47277" w:rsidRDefault="00E47277" w:rsidP="00E47277">
      <w:pPr>
        <w:spacing w:after="0" w:line="240" w:lineRule="auto"/>
        <w:jc w:val="center"/>
        <w:rPr>
          <w:rFonts w:ascii="Times New Roman" w:hAnsi="Times New Roman" w:cs="Times New Roman"/>
          <w:b/>
          <w:sz w:val="25"/>
          <w:szCs w:val="25"/>
          <w:lang w:val="ru-RU"/>
        </w:rPr>
      </w:pPr>
    </w:p>
    <w:p w14:paraId="2348E868" w14:textId="77777777" w:rsidR="00E47277" w:rsidRPr="00E47277" w:rsidRDefault="00E47277" w:rsidP="00E47277">
      <w:pPr>
        <w:spacing w:after="0" w:line="240" w:lineRule="auto"/>
        <w:jc w:val="center"/>
        <w:rPr>
          <w:rFonts w:ascii="Times New Roman" w:hAnsi="Times New Roman" w:cs="Times New Roman"/>
          <w:b/>
          <w:i/>
          <w:sz w:val="25"/>
          <w:szCs w:val="25"/>
          <w:lang w:val="ru-RU"/>
        </w:rPr>
      </w:pPr>
    </w:p>
    <w:p w14:paraId="7C30CAE1" w14:textId="66AC4A6D" w:rsidR="001169A4" w:rsidRPr="00E47277" w:rsidRDefault="001169A4" w:rsidP="00E47277">
      <w:pPr>
        <w:spacing w:after="0" w:line="240" w:lineRule="auto"/>
        <w:ind w:firstLine="720"/>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В соответствии с пунктом 2.11.Т Правил независимости аудиторов и аудиторских организаций</w:t>
      </w:r>
      <w:r w:rsidRPr="00E47277">
        <w:rPr>
          <w:rFonts w:ascii="Times New Roman" w:hAnsi="Times New Roman" w:cs="Times New Roman"/>
          <w:sz w:val="25"/>
          <w:szCs w:val="25"/>
          <w:vertAlign w:val="superscript"/>
          <w:lang w:val="ru-RU"/>
        </w:rPr>
        <w:t>[</w:t>
      </w:r>
      <w:r w:rsidRPr="00E47277">
        <w:rPr>
          <w:rStyle w:val="a6"/>
          <w:rFonts w:ascii="Times New Roman" w:hAnsi="Times New Roman" w:cs="Times New Roman"/>
          <w:sz w:val="25"/>
          <w:szCs w:val="25"/>
          <w:lang w:val="ru-RU" w:eastAsia="ru-RU"/>
        </w:rPr>
        <w:footnoteReference w:id="1"/>
      </w:r>
      <w:r w:rsidRPr="00E47277">
        <w:rPr>
          <w:rFonts w:ascii="Times New Roman" w:hAnsi="Times New Roman" w:cs="Times New Roman"/>
          <w:sz w:val="25"/>
          <w:szCs w:val="25"/>
          <w:vertAlign w:val="superscript"/>
          <w:lang w:val="ru-RU"/>
        </w:rPr>
        <w:t>]</w:t>
      </w:r>
      <w:r w:rsidRPr="00E47277">
        <w:rPr>
          <w:rFonts w:ascii="Times New Roman" w:hAnsi="Times New Roman" w:cs="Times New Roman"/>
          <w:sz w:val="25"/>
          <w:szCs w:val="25"/>
          <w:lang w:val="ru-RU"/>
        </w:rPr>
        <w:t xml:space="preserve"> (далее - Правила) в случае, когда за каждый год из двух последовательных лет общая сумма вознаграждения от аудируемого лица, являющегося ОЗО, составляет или с большой долей вероятности будет составлять более 15 процентов общей суммы выручки аудиторской организации за соответствующий год, аудиторская организация должна определить, может ли следующая мера снизить до приемлемого уровня угрозу и, если может, реализовать её: проведение надлежащим проверяющим лицом-аудитором, не являющимся работником </w:t>
      </w:r>
      <w:bookmarkStart w:id="0" w:name="_Hlk163470888"/>
      <w:r w:rsidRPr="00E47277">
        <w:rPr>
          <w:rFonts w:ascii="Times New Roman" w:hAnsi="Times New Roman" w:cs="Times New Roman"/>
          <w:sz w:val="25"/>
          <w:szCs w:val="25"/>
          <w:lang w:val="ru-RU"/>
        </w:rPr>
        <w:t>аудиторской организации, выражающей мнение о бухгалтерской отч</w:t>
      </w:r>
      <w:r w:rsidR="00341CF2" w:rsidRPr="00E47277">
        <w:rPr>
          <w:rFonts w:ascii="Times New Roman" w:hAnsi="Times New Roman" w:cs="Times New Roman"/>
          <w:sz w:val="25"/>
          <w:szCs w:val="25"/>
          <w:lang w:val="ru-RU"/>
        </w:rPr>
        <w:t>ё</w:t>
      </w:r>
      <w:r w:rsidRPr="00E47277">
        <w:rPr>
          <w:rFonts w:ascii="Times New Roman" w:hAnsi="Times New Roman" w:cs="Times New Roman"/>
          <w:sz w:val="25"/>
          <w:szCs w:val="25"/>
          <w:lang w:val="ru-RU"/>
        </w:rPr>
        <w:t>тности соответствующего аудируемого лица</w:t>
      </w:r>
      <w:bookmarkEnd w:id="0"/>
      <w:r w:rsidRPr="00E47277">
        <w:rPr>
          <w:rFonts w:ascii="Times New Roman" w:hAnsi="Times New Roman" w:cs="Times New Roman"/>
          <w:sz w:val="25"/>
          <w:szCs w:val="25"/>
          <w:lang w:val="ru-RU"/>
        </w:rPr>
        <w:t xml:space="preserve">, проверки качества выполнения соответствующего аудиторского задания перед представлением аудиторского заключения о бухгалтерской (финансовой) </w:t>
      </w:r>
      <w:r w:rsidR="00341CF2" w:rsidRPr="00E47277">
        <w:rPr>
          <w:rFonts w:ascii="Times New Roman" w:hAnsi="Times New Roman" w:cs="Times New Roman"/>
          <w:sz w:val="25"/>
          <w:szCs w:val="25"/>
          <w:lang w:val="ru-RU"/>
        </w:rPr>
        <w:t>отчё</w:t>
      </w:r>
      <w:r w:rsidRPr="00E47277">
        <w:rPr>
          <w:rFonts w:ascii="Times New Roman" w:hAnsi="Times New Roman" w:cs="Times New Roman"/>
          <w:sz w:val="25"/>
          <w:szCs w:val="25"/>
          <w:lang w:val="ru-RU"/>
        </w:rPr>
        <w:t>тности за второй год («проверка качества перед представлением аудиторского заключения»).</w:t>
      </w:r>
    </w:p>
    <w:p w14:paraId="76E425ED" w14:textId="1307B5A7" w:rsidR="001169A4" w:rsidRPr="00E47277" w:rsidRDefault="001169A4" w:rsidP="00E47277">
      <w:pPr>
        <w:spacing w:after="0" w:line="240" w:lineRule="auto"/>
        <w:ind w:firstLine="720"/>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Исходя из взаимосвязанных норм пункта 2.11.Т Правил, пункта 4.8.П4 Кодекса профессиональной этики аудиторов</w:t>
      </w:r>
      <w:r w:rsidRPr="00E47277">
        <w:rPr>
          <w:rFonts w:ascii="Times New Roman" w:hAnsi="Times New Roman" w:cs="Times New Roman"/>
          <w:sz w:val="25"/>
          <w:szCs w:val="25"/>
          <w:vertAlign w:val="superscript"/>
          <w:lang w:val="ru-RU"/>
        </w:rPr>
        <w:t>[</w:t>
      </w:r>
      <w:r w:rsidRPr="00E47277">
        <w:rPr>
          <w:rStyle w:val="a6"/>
          <w:rFonts w:ascii="Times New Roman" w:hAnsi="Times New Roman" w:cs="Times New Roman"/>
          <w:sz w:val="25"/>
          <w:szCs w:val="25"/>
          <w:lang w:val="ru-RU"/>
        </w:rPr>
        <w:footnoteReference w:id="2"/>
      </w:r>
      <w:r w:rsidRPr="00E47277">
        <w:rPr>
          <w:rFonts w:ascii="Times New Roman" w:hAnsi="Times New Roman" w:cs="Times New Roman"/>
          <w:sz w:val="25"/>
          <w:szCs w:val="25"/>
          <w:vertAlign w:val="superscript"/>
          <w:lang w:val="ru-RU"/>
        </w:rPr>
        <w:t>]</w:t>
      </w:r>
      <w:r w:rsidRPr="00E47277">
        <w:rPr>
          <w:rFonts w:ascii="Times New Roman" w:hAnsi="Times New Roman" w:cs="Times New Roman"/>
          <w:sz w:val="25"/>
          <w:szCs w:val="25"/>
          <w:lang w:val="ru-RU"/>
        </w:rPr>
        <w:t xml:space="preserve"> (далее - Кодекс), пункта 18 международного стандарта управления качеством 2 «Проверки качества выполнения заданий»</w:t>
      </w:r>
      <w:r w:rsidRPr="00E47277">
        <w:rPr>
          <w:rFonts w:ascii="Times New Roman" w:hAnsi="Times New Roman" w:cs="Times New Roman"/>
          <w:sz w:val="25"/>
          <w:szCs w:val="25"/>
          <w:vertAlign w:val="superscript"/>
          <w:lang w:val="ru-RU"/>
        </w:rPr>
        <w:t>[</w:t>
      </w:r>
      <w:r w:rsidRPr="00E47277">
        <w:rPr>
          <w:rStyle w:val="a6"/>
          <w:rFonts w:ascii="Times New Roman" w:hAnsi="Times New Roman" w:cs="Times New Roman"/>
          <w:sz w:val="25"/>
          <w:szCs w:val="25"/>
          <w:lang w:val="ru-RU"/>
        </w:rPr>
        <w:footnoteReference w:id="3"/>
      </w:r>
      <w:r w:rsidRPr="00E47277">
        <w:rPr>
          <w:rFonts w:ascii="Times New Roman" w:hAnsi="Times New Roman" w:cs="Times New Roman"/>
          <w:sz w:val="25"/>
          <w:szCs w:val="25"/>
          <w:vertAlign w:val="superscript"/>
          <w:lang w:val="ru-RU"/>
        </w:rPr>
        <w:t>]</w:t>
      </w:r>
      <w:r w:rsidRPr="00E47277">
        <w:rPr>
          <w:rFonts w:ascii="Times New Roman" w:hAnsi="Times New Roman" w:cs="Times New Roman"/>
          <w:sz w:val="25"/>
          <w:szCs w:val="25"/>
          <w:lang w:val="ru-RU"/>
        </w:rPr>
        <w:t xml:space="preserve"> (далее – МСК 2), надл</w:t>
      </w:r>
      <w:r w:rsidR="00341CF2" w:rsidRPr="00E47277">
        <w:rPr>
          <w:rFonts w:ascii="Times New Roman" w:hAnsi="Times New Roman" w:cs="Times New Roman"/>
          <w:sz w:val="25"/>
          <w:szCs w:val="25"/>
          <w:lang w:val="ru-RU"/>
        </w:rPr>
        <w:t>ежащее поверяющее лицо, привлечё</w:t>
      </w:r>
      <w:r w:rsidRPr="00E47277">
        <w:rPr>
          <w:rFonts w:ascii="Times New Roman" w:hAnsi="Times New Roman" w:cs="Times New Roman"/>
          <w:sz w:val="25"/>
          <w:szCs w:val="25"/>
          <w:lang w:val="ru-RU"/>
        </w:rPr>
        <w:t>нное для проведения проверки согласно пункту</w:t>
      </w:r>
      <w:r w:rsidR="00341CF2" w:rsidRPr="00E47277">
        <w:rPr>
          <w:rFonts w:ascii="Times New Roman" w:hAnsi="Times New Roman" w:cs="Times New Roman"/>
          <w:sz w:val="25"/>
          <w:szCs w:val="25"/>
          <w:lang w:val="ru-RU"/>
        </w:rPr>
        <w:t xml:space="preserve"> 2.11.Т Правил (далее – привлечё</w:t>
      </w:r>
      <w:r w:rsidRPr="00E47277">
        <w:rPr>
          <w:rFonts w:ascii="Times New Roman" w:hAnsi="Times New Roman" w:cs="Times New Roman"/>
          <w:sz w:val="25"/>
          <w:szCs w:val="25"/>
          <w:lang w:val="ru-RU"/>
        </w:rPr>
        <w:t>нное лицо), должно отвечать всем следующим требованиям</w:t>
      </w:r>
      <w:r w:rsidRPr="00E47277">
        <w:rPr>
          <w:rFonts w:ascii="Times New Roman" w:hAnsi="Times New Roman" w:cs="Times New Roman"/>
          <w:sz w:val="25"/>
          <w:szCs w:val="25"/>
          <w:vertAlign w:val="superscript"/>
          <w:lang w:val="ru-RU"/>
        </w:rPr>
        <w:t>[</w:t>
      </w:r>
      <w:r w:rsidRPr="00E47277">
        <w:rPr>
          <w:rStyle w:val="a6"/>
          <w:rFonts w:ascii="Times New Roman" w:hAnsi="Times New Roman" w:cs="Times New Roman"/>
          <w:sz w:val="25"/>
          <w:szCs w:val="25"/>
          <w:lang w:val="ru-RU"/>
        </w:rPr>
        <w:footnoteReference w:id="4"/>
      </w:r>
      <w:r w:rsidRPr="00E47277">
        <w:rPr>
          <w:rFonts w:ascii="Times New Roman" w:hAnsi="Times New Roman" w:cs="Times New Roman"/>
          <w:sz w:val="25"/>
          <w:szCs w:val="25"/>
          <w:vertAlign w:val="superscript"/>
          <w:lang w:val="ru-RU"/>
        </w:rPr>
        <w:t>]</w:t>
      </w:r>
      <w:r w:rsidRPr="00E47277">
        <w:rPr>
          <w:rFonts w:ascii="Times New Roman" w:hAnsi="Times New Roman" w:cs="Times New Roman"/>
          <w:sz w:val="25"/>
          <w:szCs w:val="25"/>
          <w:lang w:val="ru-RU"/>
        </w:rPr>
        <w:t>:</w:t>
      </w:r>
    </w:p>
    <w:p w14:paraId="298FEF9B" w14:textId="77777777" w:rsidR="001169A4" w:rsidRPr="00E47277" w:rsidRDefault="001169A4" w:rsidP="00E47277">
      <w:pPr>
        <w:spacing w:after="0" w:line="240" w:lineRule="auto"/>
        <w:ind w:firstLine="720"/>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1) быть аудитором, то есть согласно части 1 статьи 4 Федерального закона от 30.12.2008 № 307-ФЗ «Об аудиторской деятельности» (далее – Федеральный закон № 307-ФЗ) физическим лицом, получившим квалификационный аттестат аудитора и являющимся членом саморегулируемой организации аудиторов (пункт 2.11.Т Правил);</w:t>
      </w:r>
    </w:p>
    <w:p w14:paraId="11E7E68D" w14:textId="0E34A546" w:rsidR="001169A4" w:rsidRPr="00E47277" w:rsidRDefault="001169A4" w:rsidP="00E47277">
      <w:pPr>
        <w:spacing w:after="0" w:line="240" w:lineRule="auto"/>
        <w:ind w:firstLine="720"/>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lastRenderedPageBreak/>
        <w:t>2) не являться работником аудиторской организации, выражающей мнение о</w:t>
      </w:r>
      <w:r w:rsidR="00341CF2" w:rsidRPr="00E47277">
        <w:rPr>
          <w:rFonts w:ascii="Times New Roman" w:hAnsi="Times New Roman" w:cs="Times New Roman"/>
          <w:sz w:val="25"/>
          <w:szCs w:val="25"/>
          <w:lang w:val="ru-RU"/>
        </w:rPr>
        <w:t xml:space="preserve"> бухгалтерской (финансовой) отчё</w:t>
      </w:r>
      <w:r w:rsidRPr="00E47277">
        <w:rPr>
          <w:rFonts w:ascii="Times New Roman" w:hAnsi="Times New Roman" w:cs="Times New Roman"/>
          <w:sz w:val="25"/>
          <w:szCs w:val="25"/>
          <w:lang w:val="ru-RU"/>
        </w:rPr>
        <w:t>тности соответствующего аудируемого лица (пункт 2.11.Т Правил);</w:t>
      </w:r>
    </w:p>
    <w:p w14:paraId="08846F84" w14:textId="77777777" w:rsidR="001169A4" w:rsidRPr="00E47277" w:rsidRDefault="001169A4" w:rsidP="00E47277">
      <w:pPr>
        <w:spacing w:after="0" w:line="240" w:lineRule="auto"/>
        <w:ind w:firstLine="709"/>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3) обладать профессиональной компетентностью и способностями (необходимыми знаниями, навыками, опытом), в том числе располагать достаточным временем, и надлежащими полномочиями для проведения проверки качества выполнения задания (пункт 4.8.П4 Кодекса, пункт 18 МСК 2). При этом наличие профессиональной компетентности для проведения проверки качества выполнения задания означает, в частности (пункты А5-А8 МСК 2):</w:t>
      </w:r>
    </w:p>
    <w:p w14:paraId="5BB6C895" w14:textId="69642172" w:rsidR="001169A4" w:rsidRPr="00E47277" w:rsidRDefault="001169A4" w:rsidP="00E47277">
      <w:pPr>
        <w:spacing w:after="0" w:line="240" w:lineRule="auto"/>
        <w:ind w:firstLine="709"/>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 xml:space="preserve">а) </w:t>
      </w:r>
      <w:r w:rsidR="00DC6671" w:rsidRPr="00E47277">
        <w:rPr>
          <w:rFonts w:ascii="Times New Roman" w:hAnsi="Times New Roman" w:cs="Times New Roman"/>
          <w:sz w:val="25"/>
          <w:szCs w:val="25"/>
          <w:lang w:val="ru-RU"/>
        </w:rPr>
        <w:t>понимать</w:t>
      </w:r>
      <w:r w:rsidRPr="00E47277">
        <w:rPr>
          <w:rFonts w:ascii="Times New Roman" w:hAnsi="Times New Roman" w:cs="Times New Roman"/>
          <w:sz w:val="25"/>
          <w:szCs w:val="25"/>
          <w:lang w:val="ru-RU"/>
        </w:rPr>
        <w:t xml:space="preserve"> профессиональны</w:t>
      </w:r>
      <w:r w:rsidR="00DC6671" w:rsidRPr="00E47277">
        <w:rPr>
          <w:rFonts w:ascii="Times New Roman" w:hAnsi="Times New Roman" w:cs="Times New Roman"/>
          <w:sz w:val="25"/>
          <w:szCs w:val="25"/>
          <w:lang w:val="ru-RU"/>
        </w:rPr>
        <w:t>е</w:t>
      </w:r>
      <w:r w:rsidRPr="00E47277">
        <w:rPr>
          <w:rFonts w:ascii="Times New Roman" w:hAnsi="Times New Roman" w:cs="Times New Roman"/>
          <w:sz w:val="25"/>
          <w:szCs w:val="25"/>
          <w:lang w:val="ru-RU"/>
        </w:rPr>
        <w:t xml:space="preserve"> стандарт</w:t>
      </w:r>
      <w:r w:rsidR="00DC6671" w:rsidRPr="00E47277">
        <w:rPr>
          <w:rFonts w:ascii="Times New Roman" w:hAnsi="Times New Roman" w:cs="Times New Roman"/>
          <w:sz w:val="25"/>
          <w:szCs w:val="25"/>
          <w:lang w:val="ru-RU"/>
        </w:rPr>
        <w:t>ы</w:t>
      </w:r>
      <w:r w:rsidRPr="00E47277">
        <w:rPr>
          <w:rFonts w:ascii="Times New Roman" w:hAnsi="Times New Roman" w:cs="Times New Roman"/>
          <w:sz w:val="25"/>
          <w:szCs w:val="25"/>
          <w:lang w:val="ru-RU"/>
        </w:rPr>
        <w:t xml:space="preserve"> и применимы</w:t>
      </w:r>
      <w:r w:rsidR="00DC6671" w:rsidRPr="00E47277">
        <w:rPr>
          <w:rFonts w:ascii="Times New Roman" w:hAnsi="Times New Roman" w:cs="Times New Roman"/>
          <w:sz w:val="25"/>
          <w:szCs w:val="25"/>
          <w:lang w:val="ru-RU"/>
        </w:rPr>
        <w:t>е</w:t>
      </w:r>
      <w:r w:rsidRPr="00E47277">
        <w:rPr>
          <w:rFonts w:ascii="Times New Roman" w:hAnsi="Times New Roman" w:cs="Times New Roman"/>
          <w:sz w:val="25"/>
          <w:szCs w:val="25"/>
          <w:lang w:val="ru-RU"/>
        </w:rPr>
        <w:t xml:space="preserve"> требовани</w:t>
      </w:r>
      <w:r w:rsidR="00DC6671" w:rsidRPr="00E47277">
        <w:rPr>
          <w:rFonts w:ascii="Times New Roman" w:hAnsi="Times New Roman" w:cs="Times New Roman"/>
          <w:sz w:val="25"/>
          <w:szCs w:val="25"/>
          <w:lang w:val="ru-RU"/>
        </w:rPr>
        <w:t>я</w:t>
      </w:r>
      <w:r w:rsidRPr="00E47277">
        <w:rPr>
          <w:rFonts w:ascii="Times New Roman" w:hAnsi="Times New Roman" w:cs="Times New Roman"/>
          <w:sz w:val="25"/>
          <w:szCs w:val="25"/>
          <w:lang w:val="ru-RU"/>
        </w:rPr>
        <w:t xml:space="preserve"> законов и нормативных актов, а также политик</w:t>
      </w:r>
      <w:r w:rsidR="00DC6671" w:rsidRPr="00E47277">
        <w:rPr>
          <w:rFonts w:ascii="Times New Roman" w:hAnsi="Times New Roman" w:cs="Times New Roman"/>
          <w:sz w:val="25"/>
          <w:szCs w:val="25"/>
          <w:lang w:val="ru-RU"/>
        </w:rPr>
        <w:t>и</w:t>
      </w:r>
      <w:r w:rsidRPr="00E47277">
        <w:rPr>
          <w:rFonts w:ascii="Times New Roman" w:hAnsi="Times New Roman" w:cs="Times New Roman"/>
          <w:sz w:val="25"/>
          <w:szCs w:val="25"/>
          <w:lang w:val="ru-RU"/>
        </w:rPr>
        <w:t xml:space="preserve"> или процедур</w:t>
      </w:r>
      <w:r w:rsidR="00DC6671" w:rsidRPr="00E47277">
        <w:rPr>
          <w:rFonts w:ascii="Times New Roman" w:hAnsi="Times New Roman" w:cs="Times New Roman"/>
          <w:sz w:val="25"/>
          <w:szCs w:val="25"/>
          <w:lang w:val="ru-RU"/>
        </w:rPr>
        <w:t>ы</w:t>
      </w:r>
      <w:r w:rsidRPr="00E47277">
        <w:rPr>
          <w:rFonts w:ascii="Times New Roman" w:hAnsi="Times New Roman" w:cs="Times New Roman"/>
          <w:sz w:val="25"/>
          <w:szCs w:val="25"/>
          <w:lang w:val="ru-RU"/>
        </w:rPr>
        <w:t xml:space="preserve"> аудиторской организации, выражающей мнение о бухгалтерской (финансо</w:t>
      </w:r>
      <w:r w:rsidR="00341CF2" w:rsidRPr="00E47277">
        <w:rPr>
          <w:rFonts w:ascii="Times New Roman" w:hAnsi="Times New Roman" w:cs="Times New Roman"/>
          <w:sz w:val="25"/>
          <w:szCs w:val="25"/>
          <w:lang w:val="ru-RU"/>
        </w:rPr>
        <w:t>вой) отчё</w:t>
      </w:r>
      <w:r w:rsidRPr="00E47277">
        <w:rPr>
          <w:rFonts w:ascii="Times New Roman" w:hAnsi="Times New Roman" w:cs="Times New Roman"/>
          <w:sz w:val="25"/>
          <w:szCs w:val="25"/>
          <w:lang w:val="ru-RU"/>
        </w:rPr>
        <w:t>тности соответствующего аудируемого лица, которые являются значимыми для задания;</w:t>
      </w:r>
    </w:p>
    <w:p w14:paraId="0E39EDB9" w14:textId="22C545F7" w:rsidR="001169A4" w:rsidRPr="00E47277" w:rsidRDefault="001169A4" w:rsidP="00E47277">
      <w:pPr>
        <w:spacing w:after="0" w:line="240" w:lineRule="auto"/>
        <w:ind w:firstLine="709"/>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б) понима</w:t>
      </w:r>
      <w:r w:rsidR="00DC6671" w:rsidRPr="00E47277">
        <w:rPr>
          <w:rFonts w:ascii="Times New Roman" w:hAnsi="Times New Roman" w:cs="Times New Roman"/>
          <w:sz w:val="25"/>
          <w:szCs w:val="25"/>
          <w:lang w:val="ru-RU"/>
        </w:rPr>
        <w:t>ть</w:t>
      </w:r>
      <w:r w:rsidRPr="00E47277">
        <w:rPr>
          <w:rFonts w:ascii="Times New Roman" w:hAnsi="Times New Roman" w:cs="Times New Roman"/>
          <w:sz w:val="25"/>
          <w:szCs w:val="25"/>
          <w:lang w:val="ru-RU"/>
        </w:rPr>
        <w:t xml:space="preserve"> отрасл</w:t>
      </w:r>
      <w:r w:rsidR="00DC6671" w:rsidRPr="00E47277">
        <w:rPr>
          <w:rFonts w:ascii="Times New Roman" w:hAnsi="Times New Roman" w:cs="Times New Roman"/>
          <w:sz w:val="25"/>
          <w:szCs w:val="25"/>
          <w:lang w:val="ru-RU"/>
        </w:rPr>
        <w:t>ь</w:t>
      </w:r>
      <w:r w:rsidRPr="00E47277">
        <w:rPr>
          <w:rFonts w:ascii="Times New Roman" w:hAnsi="Times New Roman" w:cs="Times New Roman"/>
          <w:sz w:val="25"/>
          <w:szCs w:val="25"/>
          <w:lang w:val="ru-RU"/>
        </w:rPr>
        <w:t>, в которой соответствующее аудируемое лицо</w:t>
      </w:r>
      <w:r w:rsidRPr="00E47277" w:rsidDel="000615E9">
        <w:rPr>
          <w:rFonts w:ascii="Times New Roman" w:hAnsi="Times New Roman" w:cs="Times New Roman"/>
          <w:sz w:val="25"/>
          <w:szCs w:val="25"/>
          <w:lang w:val="ru-RU"/>
        </w:rPr>
        <w:t xml:space="preserve"> </w:t>
      </w:r>
      <w:r w:rsidRPr="00E47277">
        <w:rPr>
          <w:rFonts w:ascii="Times New Roman" w:hAnsi="Times New Roman" w:cs="Times New Roman"/>
          <w:sz w:val="25"/>
          <w:szCs w:val="25"/>
          <w:lang w:val="ru-RU"/>
        </w:rPr>
        <w:t xml:space="preserve">осуществляет деятельность; </w:t>
      </w:r>
    </w:p>
    <w:p w14:paraId="5F6193C5" w14:textId="4B01BF12" w:rsidR="001169A4" w:rsidRPr="00E47277" w:rsidRDefault="001169A4" w:rsidP="00E47277">
      <w:pPr>
        <w:spacing w:after="0" w:line="240" w:lineRule="auto"/>
        <w:ind w:firstLine="709"/>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 xml:space="preserve">в) </w:t>
      </w:r>
      <w:r w:rsidR="00DC6671" w:rsidRPr="00E47277">
        <w:rPr>
          <w:rFonts w:ascii="Times New Roman" w:hAnsi="Times New Roman" w:cs="Times New Roman"/>
          <w:sz w:val="25"/>
          <w:szCs w:val="25"/>
          <w:lang w:val="ru-RU"/>
        </w:rPr>
        <w:t>обладать</w:t>
      </w:r>
      <w:r w:rsidRPr="00E47277">
        <w:rPr>
          <w:rFonts w:ascii="Times New Roman" w:hAnsi="Times New Roman" w:cs="Times New Roman"/>
          <w:sz w:val="25"/>
          <w:szCs w:val="25"/>
          <w:lang w:val="ru-RU"/>
        </w:rPr>
        <w:t xml:space="preserve"> знани</w:t>
      </w:r>
      <w:r w:rsidR="00DC6671" w:rsidRPr="00E47277">
        <w:rPr>
          <w:rFonts w:ascii="Times New Roman" w:hAnsi="Times New Roman" w:cs="Times New Roman"/>
          <w:sz w:val="25"/>
          <w:szCs w:val="25"/>
          <w:lang w:val="ru-RU"/>
        </w:rPr>
        <w:t>ями</w:t>
      </w:r>
      <w:r w:rsidRPr="00E47277">
        <w:rPr>
          <w:rFonts w:ascii="Times New Roman" w:hAnsi="Times New Roman" w:cs="Times New Roman"/>
          <w:sz w:val="25"/>
          <w:szCs w:val="25"/>
          <w:lang w:val="ru-RU"/>
        </w:rPr>
        <w:t xml:space="preserve"> и </w:t>
      </w:r>
      <w:bookmarkStart w:id="1" w:name="_Hlk163467613"/>
      <w:r w:rsidRPr="00E47277">
        <w:rPr>
          <w:rFonts w:ascii="Times New Roman" w:hAnsi="Times New Roman" w:cs="Times New Roman"/>
          <w:sz w:val="25"/>
          <w:szCs w:val="25"/>
          <w:lang w:val="ru-RU"/>
        </w:rPr>
        <w:t>опыт</w:t>
      </w:r>
      <w:r w:rsidR="00DC6671" w:rsidRPr="00E47277">
        <w:rPr>
          <w:rFonts w:ascii="Times New Roman" w:hAnsi="Times New Roman" w:cs="Times New Roman"/>
          <w:sz w:val="25"/>
          <w:szCs w:val="25"/>
          <w:lang w:val="ru-RU"/>
        </w:rPr>
        <w:t>ом</w:t>
      </w:r>
      <w:r w:rsidRPr="00E47277">
        <w:rPr>
          <w:rFonts w:ascii="Times New Roman" w:hAnsi="Times New Roman" w:cs="Times New Roman"/>
          <w:sz w:val="25"/>
          <w:szCs w:val="25"/>
          <w:lang w:val="ru-RU"/>
        </w:rPr>
        <w:t>, которые являются значимыми</w:t>
      </w:r>
      <w:bookmarkEnd w:id="1"/>
      <w:r w:rsidRPr="00E47277">
        <w:rPr>
          <w:rFonts w:ascii="Times New Roman" w:hAnsi="Times New Roman" w:cs="Times New Roman"/>
          <w:sz w:val="25"/>
          <w:szCs w:val="25"/>
          <w:lang w:val="ru-RU"/>
        </w:rPr>
        <w:t xml:space="preserve"> для заданий, сходных по характеру и сложности;</w:t>
      </w:r>
    </w:p>
    <w:p w14:paraId="3D6EC3EF" w14:textId="21E62716" w:rsidR="001169A4" w:rsidRPr="00E47277" w:rsidRDefault="001169A4" w:rsidP="00E47277">
      <w:pPr>
        <w:spacing w:after="0" w:line="240" w:lineRule="auto"/>
        <w:ind w:firstLine="709"/>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г) понима</w:t>
      </w:r>
      <w:r w:rsidR="00DC6671" w:rsidRPr="00E47277">
        <w:rPr>
          <w:rFonts w:ascii="Times New Roman" w:hAnsi="Times New Roman" w:cs="Times New Roman"/>
          <w:sz w:val="25"/>
          <w:szCs w:val="25"/>
          <w:lang w:val="ru-RU"/>
        </w:rPr>
        <w:t>ть</w:t>
      </w:r>
      <w:r w:rsidRPr="00E47277">
        <w:rPr>
          <w:rFonts w:ascii="Times New Roman" w:hAnsi="Times New Roman" w:cs="Times New Roman"/>
          <w:sz w:val="25"/>
          <w:szCs w:val="25"/>
          <w:lang w:val="ru-RU"/>
        </w:rPr>
        <w:t xml:space="preserve"> обязанност</w:t>
      </w:r>
      <w:r w:rsidR="00DC6671" w:rsidRPr="00E47277">
        <w:rPr>
          <w:rFonts w:ascii="Times New Roman" w:hAnsi="Times New Roman" w:cs="Times New Roman"/>
          <w:sz w:val="25"/>
          <w:szCs w:val="25"/>
          <w:lang w:val="ru-RU"/>
        </w:rPr>
        <w:t>и</w:t>
      </w:r>
      <w:r w:rsidRPr="00E47277">
        <w:rPr>
          <w:rFonts w:ascii="Times New Roman" w:hAnsi="Times New Roman" w:cs="Times New Roman"/>
          <w:sz w:val="25"/>
          <w:szCs w:val="25"/>
          <w:lang w:val="ru-RU"/>
        </w:rPr>
        <w:t xml:space="preserve"> привлеч</w:t>
      </w:r>
      <w:r w:rsidR="00341CF2" w:rsidRPr="00E47277">
        <w:rPr>
          <w:rFonts w:ascii="Times New Roman" w:hAnsi="Times New Roman" w:cs="Times New Roman"/>
          <w:sz w:val="25"/>
          <w:szCs w:val="25"/>
          <w:lang w:val="ru-RU"/>
        </w:rPr>
        <w:t>ё</w:t>
      </w:r>
      <w:r w:rsidRPr="00E47277">
        <w:rPr>
          <w:rFonts w:ascii="Times New Roman" w:hAnsi="Times New Roman" w:cs="Times New Roman"/>
          <w:sz w:val="25"/>
          <w:szCs w:val="25"/>
          <w:lang w:val="ru-RU"/>
        </w:rPr>
        <w:t>нного лица при проведении и документальном оформлении проверки качества выполнения задания, которого можно добиться или которое можно улучшить в случае прохождения соответствующего обучения, организованного аудиторской организацией (индивидуальным аудитором), работником кото</w:t>
      </w:r>
      <w:r w:rsidR="00341CF2" w:rsidRPr="00E47277">
        <w:rPr>
          <w:rFonts w:ascii="Times New Roman" w:hAnsi="Times New Roman" w:cs="Times New Roman"/>
          <w:sz w:val="25"/>
          <w:szCs w:val="25"/>
          <w:lang w:val="ru-RU"/>
        </w:rPr>
        <w:t>рой (которого) является привлечё</w:t>
      </w:r>
      <w:r w:rsidRPr="00E47277">
        <w:rPr>
          <w:rFonts w:ascii="Times New Roman" w:hAnsi="Times New Roman" w:cs="Times New Roman"/>
          <w:sz w:val="25"/>
          <w:szCs w:val="25"/>
          <w:lang w:val="ru-RU"/>
        </w:rPr>
        <w:t>нное лицо</w:t>
      </w:r>
      <w:r w:rsidR="00DC6671" w:rsidRPr="00E47277">
        <w:rPr>
          <w:rFonts w:ascii="Times New Roman" w:hAnsi="Times New Roman" w:cs="Times New Roman"/>
          <w:sz w:val="25"/>
          <w:szCs w:val="25"/>
          <w:lang w:val="ru-RU"/>
        </w:rPr>
        <w:t>.</w:t>
      </w:r>
      <w:r w:rsidRPr="00E47277">
        <w:rPr>
          <w:rFonts w:ascii="Times New Roman" w:hAnsi="Times New Roman" w:cs="Times New Roman"/>
          <w:sz w:val="25"/>
          <w:szCs w:val="25"/>
          <w:lang w:val="ru-RU"/>
        </w:rPr>
        <w:t xml:space="preserve"> </w:t>
      </w:r>
    </w:p>
    <w:p w14:paraId="5D5F79B8" w14:textId="63319A05" w:rsidR="001169A4" w:rsidRPr="00E47277" w:rsidRDefault="001169A4" w:rsidP="00E47277">
      <w:pPr>
        <w:spacing w:after="0" w:line="240" w:lineRule="auto"/>
        <w:ind w:firstLine="720"/>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4) соблюд</w:t>
      </w:r>
      <w:r w:rsidR="00597C19" w:rsidRPr="00E47277">
        <w:rPr>
          <w:rFonts w:ascii="Times New Roman" w:hAnsi="Times New Roman" w:cs="Times New Roman"/>
          <w:sz w:val="25"/>
          <w:szCs w:val="25"/>
          <w:lang w:val="ru-RU"/>
        </w:rPr>
        <w:t>ать</w:t>
      </w:r>
      <w:r w:rsidRPr="00E47277">
        <w:rPr>
          <w:rFonts w:ascii="Times New Roman" w:hAnsi="Times New Roman" w:cs="Times New Roman"/>
          <w:sz w:val="25"/>
          <w:szCs w:val="25"/>
          <w:lang w:val="ru-RU"/>
        </w:rPr>
        <w:t xml:space="preserve"> соответствующи</w:t>
      </w:r>
      <w:r w:rsidR="00597C19" w:rsidRPr="00E47277">
        <w:rPr>
          <w:rFonts w:ascii="Times New Roman" w:hAnsi="Times New Roman" w:cs="Times New Roman"/>
          <w:sz w:val="25"/>
          <w:szCs w:val="25"/>
          <w:lang w:val="ru-RU"/>
        </w:rPr>
        <w:t>е</w:t>
      </w:r>
      <w:r w:rsidRPr="00E47277">
        <w:rPr>
          <w:rFonts w:ascii="Times New Roman" w:hAnsi="Times New Roman" w:cs="Times New Roman"/>
          <w:sz w:val="25"/>
          <w:szCs w:val="25"/>
          <w:lang w:val="ru-RU"/>
        </w:rPr>
        <w:t xml:space="preserve"> этически</w:t>
      </w:r>
      <w:r w:rsidR="00597C19" w:rsidRPr="00E47277">
        <w:rPr>
          <w:rFonts w:ascii="Times New Roman" w:hAnsi="Times New Roman" w:cs="Times New Roman"/>
          <w:sz w:val="25"/>
          <w:szCs w:val="25"/>
          <w:lang w:val="ru-RU"/>
        </w:rPr>
        <w:t>е</w:t>
      </w:r>
      <w:r w:rsidRPr="00E47277">
        <w:rPr>
          <w:rFonts w:ascii="Times New Roman" w:hAnsi="Times New Roman" w:cs="Times New Roman"/>
          <w:sz w:val="25"/>
          <w:szCs w:val="25"/>
          <w:lang w:val="ru-RU"/>
        </w:rPr>
        <w:t xml:space="preserve"> требовани</w:t>
      </w:r>
      <w:r w:rsidR="00597C19" w:rsidRPr="00E47277">
        <w:rPr>
          <w:rFonts w:ascii="Times New Roman" w:hAnsi="Times New Roman" w:cs="Times New Roman"/>
          <w:sz w:val="25"/>
          <w:szCs w:val="25"/>
          <w:lang w:val="ru-RU"/>
        </w:rPr>
        <w:t>я</w:t>
      </w:r>
      <w:r w:rsidRPr="00E47277">
        <w:rPr>
          <w:rFonts w:ascii="Times New Roman" w:hAnsi="Times New Roman" w:cs="Times New Roman"/>
          <w:sz w:val="25"/>
          <w:szCs w:val="25"/>
          <w:lang w:val="ru-RU"/>
        </w:rPr>
        <w:t>, включая требования, касающиеся угрозы несоблюдения принципов объективности (см. раздел 12 Кодекса) и независимости (см. Федеральный закон № 307-ФЗ и Правила) (пункты 18, А</w:t>
      </w:r>
      <w:r w:rsidR="00341CF2" w:rsidRPr="00E47277">
        <w:rPr>
          <w:rFonts w:ascii="Times New Roman" w:hAnsi="Times New Roman" w:cs="Times New Roman"/>
          <w:sz w:val="25"/>
          <w:szCs w:val="25"/>
          <w:lang w:val="ru-RU"/>
        </w:rPr>
        <w:t>14-А15 МСК 2). При этом привлечё</w:t>
      </w:r>
      <w:r w:rsidRPr="00E47277">
        <w:rPr>
          <w:rFonts w:ascii="Times New Roman" w:hAnsi="Times New Roman" w:cs="Times New Roman"/>
          <w:sz w:val="25"/>
          <w:szCs w:val="25"/>
          <w:lang w:val="ru-RU"/>
        </w:rPr>
        <w:t>нное лицо должно быть независимым по отношению как к соответствующему аудируемому лицу, так и к аудиторской организации, выражающей мнение о</w:t>
      </w:r>
      <w:r w:rsidR="00341CF2" w:rsidRPr="00E47277">
        <w:rPr>
          <w:rFonts w:ascii="Times New Roman" w:hAnsi="Times New Roman" w:cs="Times New Roman"/>
          <w:sz w:val="25"/>
          <w:szCs w:val="25"/>
          <w:lang w:val="ru-RU"/>
        </w:rPr>
        <w:t xml:space="preserve"> бухгалтерской (финансовой) отчё</w:t>
      </w:r>
      <w:r w:rsidRPr="00E47277">
        <w:rPr>
          <w:rFonts w:ascii="Times New Roman" w:hAnsi="Times New Roman" w:cs="Times New Roman"/>
          <w:sz w:val="25"/>
          <w:szCs w:val="25"/>
          <w:lang w:val="ru-RU"/>
        </w:rPr>
        <w:t>тности такого аудируемого лица, руководителю аудита и участникам аудиторской группы, которые участвуют в проведении аудита</w:t>
      </w:r>
      <w:r w:rsidR="00341CF2" w:rsidRPr="00E47277">
        <w:rPr>
          <w:rFonts w:ascii="Times New Roman" w:hAnsi="Times New Roman" w:cs="Times New Roman"/>
          <w:sz w:val="25"/>
          <w:szCs w:val="25"/>
          <w:lang w:val="ru-RU"/>
        </w:rPr>
        <w:t xml:space="preserve"> бухгалтерской (финансовой) отчё</w:t>
      </w:r>
      <w:r w:rsidRPr="00E47277">
        <w:rPr>
          <w:rFonts w:ascii="Times New Roman" w:hAnsi="Times New Roman" w:cs="Times New Roman"/>
          <w:sz w:val="25"/>
          <w:szCs w:val="25"/>
          <w:lang w:val="ru-RU"/>
        </w:rPr>
        <w:t>тности соответствующего аудируемого лица.</w:t>
      </w:r>
    </w:p>
    <w:p w14:paraId="638CABD0" w14:textId="26A82813" w:rsidR="00E24280" w:rsidRPr="00E47277" w:rsidRDefault="00E24280" w:rsidP="00E47277">
      <w:pPr>
        <w:spacing w:after="0" w:line="240" w:lineRule="auto"/>
        <w:ind w:firstLine="720"/>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 xml:space="preserve">В тоже время, аудиторская организация, привлекающее надлежащее проверяющее лицо, </w:t>
      </w:r>
      <w:r w:rsidRPr="00E47277">
        <w:rPr>
          <w:rFonts w:ascii="Times New Roman" w:hAnsi="Times New Roman" w:cs="Times New Roman"/>
          <w:sz w:val="25"/>
          <w:szCs w:val="25"/>
          <w:u w:val="single"/>
          <w:lang w:val="ru-RU"/>
        </w:rPr>
        <w:t>вправе</w:t>
      </w:r>
      <w:r w:rsidRPr="00E47277">
        <w:rPr>
          <w:rFonts w:ascii="Times New Roman" w:hAnsi="Times New Roman" w:cs="Times New Roman"/>
          <w:sz w:val="25"/>
          <w:szCs w:val="25"/>
          <w:lang w:val="ru-RU"/>
        </w:rPr>
        <w:t xml:space="preserve"> рассмотреть также иные критерии, в дополнение к указанным выше, для оценки знаний, навыков, опыта и полномочий привлекаемого лица.</w:t>
      </w:r>
    </w:p>
    <w:p w14:paraId="32CD7624" w14:textId="5241B833" w:rsidR="001169A4" w:rsidRPr="00E47277" w:rsidRDefault="001169A4" w:rsidP="00E47277">
      <w:pPr>
        <w:spacing w:after="0" w:line="240" w:lineRule="auto"/>
        <w:ind w:firstLine="720"/>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 xml:space="preserve">В общем случае свидетельством того, что </w:t>
      </w:r>
      <w:bookmarkStart w:id="2" w:name="_Hlk163470768"/>
      <w:r w:rsidR="00341CF2" w:rsidRPr="00E47277">
        <w:rPr>
          <w:rFonts w:ascii="Times New Roman" w:hAnsi="Times New Roman" w:cs="Times New Roman"/>
          <w:sz w:val="25"/>
          <w:szCs w:val="25"/>
          <w:lang w:val="ru-RU"/>
        </w:rPr>
        <w:t>привлечё</w:t>
      </w:r>
      <w:r w:rsidRPr="00E47277">
        <w:rPr>
          <w:rFonts w:ascii="Times New Roman" w:hAnsi="Times New Roman" w:cs="Times New Roman"/>
          <w:sz w:val="25"/>
          <w:szCs w:val="25"/>
          <w:lang w:val="ru-RU"/>
        </w:rPr>
        <w:t>нное лицо</w:t>
      </w:r>
      <w:bookmarkEnd w:id="2"/>
      <w:r w:rsidRPr="00E47277">
        <w:rPr>
          <w:rFonts w:ascii="Times New Roman" w:hAnsi="Times New Roman" w:cs="Times New Roman"/>
          <w:sz w:val="25"/>
          <w:szCs w:val="25"/>
          <w:lang w:val="ru-RU"/>
        </w:rPr>
        <w:t xml:space="preserve"> обладает профессиональной компетентностью и способностями для проведения проверки согласно пункту 2.11.Т Правил, могут быть: </w:t>
      </w:r>
    </w:p>
    <w:p w14:paraId="0F3A04F2" w14:textId="77777777" w:rsidR="001169A4" w:rsidRPr="00E47277" w:rsidRDefault="001169A4" w:rsidP="00E47277">
      <w:pPr>
        <w:spacing w:after="0" w:line="240" w:lineRule="auto"/>
        <w:ind w:firstLine="720"/>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а) наличие действительного квалификационного аттестата аудитора, выданного в соответствии с Федеральным законом № 307-ФЗ (в отношении подпункта «а» пункта 3);</w:t>
      </w:r>
    </w:p>
    <w:p w14:paraId="3FDC5E6D" w14:textId="730A4F30" w:rsidR="001169A4" w:rsidRPr="00E47277" w:rsidRDefault="00597C19" w:rsidP="00E47277">
      <w:pPr>
        <w:spacing w:after="0" w:line="240" w:lineRule="auto"/>
        <w:ind w:firstLine="720"/>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б) подтверждё</w:t>
      </w:r>
      <w:r w:rsidR="001169A4" w:rsidRPr="00E47277">
        <w:rPr>
          <w:rFonts w:ascii="Times New Roman" w:hAnsi="Times New Roman" w:cs="Times New Roman"/>
          <w:sz w:val="25"/>
          <w:szCs w:val="25"/>
          <w:lang w:val="ru-RU"/>
        </w:rPr>
        <w:t>нное участие в оказании аудиторских услуг и (или) прочих связанных с аудиторской деятельностью услуг организациям, осуществляющим такую же экономическую деятельность, что и соответствующе</w:t>
      </w:r>
      <w:r w:rsidR="00DC6671" w:rsidRPr="00E47277">
        <w:rPr>
          <w:rFonts w:ascii="Times New Roman" w:hAnsi="Times New Roman" w:cs="Times New Roman"/>
          <w:sz w:val="25"/>
          <w:szCs w:val="25"/>
          <w:lang w:val="ru-RU"/>
        </w:rPr>
        <w:t>е аудируемое лицо, в течение трё</w:t>
      </w:r>
      <w:r w:rsidR="001169A4" w:rsidRPr="00E47277">
        <w:rPr>
          <w:rFonts w:ascii="Times New Roman" w:hAnsi="Times New Roman" w:cs="Times New Roman"/>
          <w:sz w:val="25"/>
          <w:szCs w:val="25"/>
          <w:lang w:val="ru-RU"/>
        </w:rPr>
        <w:t>х лет, непосредственно предшествовавших году, в котором лицо привлекается для проведения проверки согласно пункту</w:t>
      </w:r>
      <w:r w:rsidRPr="00E47277">
        <w:rPr>
          <w:rFonts w:ascii="Times New Roman" w:hAnsi="Times New Roman" w:cs="Times New Roman"/>
          <w:sz w:val="25"/>
          <w:szCs w:val="25"/>
          <w:lang w:val="ru-RU"/>
        </w:rPr>
        <w:t xml:space="preserve"> 2.11.Т Правил, (или) подтверждё</w:t>
      </w:r>
      <w:r w:rsidR="001169A4" w:rsidRPr="00E47277">
        <w:rPr>
          <w:rFonts w:ascii="Times New Roman" w:hAnsi="Times New Roman" w:cs="Times New Roman"/>
          <w:sz w:val="25"/>
          <w:szCs w:val="25"/>
          <w:lang w:val="ru-RU"/>
        </w:rPr>
        <w:t>нное прохождение</w:t>
      </w:r>
      <w:r w:rsidRPr="00E47277">
        <w:rPr>
          <w:rFonts w:ascii="Times New Roman" w:hAnsi="Times New Roman" w:cs="Times New Roman"/>
          <w:sz w:val="25"/>
          <w:szCs w:val="25"/>
          <w:lang w:val="ru-RU"/>
        </w:rPr>
        <w:t>м</w:t>
      </w:r>
      <w:r w:rsidR="001169A4" w:rsidRPr="00E47277">
        <w:rPr>
          <w:rFonts w:ascii="Times New Roman" w:hAnsi="Times New Roman" w:cs="Times New Roman"/>
          <w:sz w:val="25"/>
          <w:szCs w:val="25"/>
          <w:lang w:val="ru-RU"/>
        </w:rPr>
        <w:t xml:space="preserve"> предусмотренного статьей 11 Федерального закона № 307-ФЗ обучения по программам повышения квалификации по тематике экономической деятельности соответствующего аудируемого лица, в </w:t>
      </w:r>
      <w:r w:rsidR="00DC6671" w:rsidRPr="00E47277">
        <w:rPr>
          <w:rFonts w:ascii="Times New Roman" w:hAnsi="Times New Roman" w:cs="Times New Roman"/>
          <w:sz w:val="25"/>
          <w:szCs w:val="25"/>
          <w:lang w:val="ru-RU"/>
        </w:rPr>
        <w:t>течение трё</w:t>
      </w:r>
      <w:r w:rsidR="001169A4" w:rsidRPr="00E47277">
        <w:rPr>
          <w:rFonts w:ascii="Times New Roman" w:hAnsi="Times New Roman" w:cs="Times New Roman"/>
          <w:sz w:val="25"/>
          <w:szCs w:val="25"/>
          <w:lang w:val="ru-RU"/>
        </w:rPr>
        <w:t>х лет, непосредственно предшествовавших году, в котором лицо привлекается для проведения проверки согласно пункту 2.11.Т Правил  (в отношении подпункта «б» пункта 3);</w:t>
      </w:r>
    </w:p>
    <w:p w14:paraId="041F6361" w14:textId="1B118EED" w:rsidR="001169A4" w:rsidRPr="00E47277" w:rsidRDefault="00597C19" w:rsidP="00E47277">
      <w:pPr>
        <w:spacing w:after="0" w:line="240" w:lineRule="auto"/>
        <w:ind w:firstLine="720"/>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lastRenderedPageBreak/>
        <w:t>в) подтверждё</w:t>
      </w:r>
      <w:r w:rsidR="001169A4" w:rsidRPr="00E47277">
        <w:rPr>
          <w:rFonts w:ascii="Times New Roman" w:hAnsi="Times New Roman" w:cs="Times New Roman"/>
          <w:sz w:val="25"/>
          <w:szCs w:val="25"/>
          <w:lang w:val="ru-RU"/>
        </w:rPr>
        <w:t>нное участие в течение тр</w:t>
      </w:r>
      <w:r w:rsidR="00DC6671" w:rsidRPr="00E47277">
        <w:rPr>
          <w:rFonts w:ascii="Times New Roman" w:hAnsi="Times New Roman" w:cs="Times New Roman"/>
          <w:sz w:val="25"/>
          <w:szCs w:val="25"/>
          <w:lang w:val="ru-RU"/>
        </w:rPr>
        <w:t>ё</w:t>
      </w:r>
      <w:r w:rsidR="001169A4" w:rsidRPr="00E47277">
        <w:rPr>
          <w:rFonts w:ascii="Times New Roman" w:hAnsi="Times New Roman" w:cs="Times New Roman"/>
          <w:sz w:val="25"/>
          <w:szCs w:val="25"/>
          <w:lang w:val="ru-RU"/>
        </w:rPr>
        <w:t>х лет, непосредственно предшествовавших году, в котором лицо привлекается для проведения проверки согласно пункту 2.11.Т Правил, в заданиях по проведению аудита бухгалтерской (финансовой) отч</w:t>
      </w:r>
      <w:r w:rsidR="00341CF2" w:rsidRPr="00E47277">
        <w:rPr>
          <w:rFonts w:ascii="Times New Roman" w:hAnsi="Times New Roman" w:cs="Times New Roman"/>
          <w:sz w:val="25"/>
          <w:szCs w:val="25"/>
          <w:lang w:val="ru-RU"/>
        </w:rPr>
        <w:t>ё</w:t>
      </w:r>
      <w:r w:rsidR="001169A4" w:rsidRPr="00E47277">
        <w:rPr>
          <w:rFonts w:ascii="Times New Roman" w:hAnsi="Times New Roman" w:cs="Times New Roman"/>
          <w:sz w:val="25"/>
          <w:szCs w:val="25"/>
          <w:lang w:val="ru-RU"/>
        </w:rPr>
        <w:t xml:space="preserve">тности, сходных по характеру и сложности заданию, качество выполнения которого проверяется, в роли руководителя аудита или лица, осуществляющего проверку качества выполнения задания (в отношении подпункта «в» пункта 3); </w:t>
      </w:r>
    </w:p>
    <w:p w14:paraId="4334234E" w14:textId="28447D74" w:rsidR="001169A4" w:rsidRPr="00E47277" w:rsidRDefault="001169A4" w:rsidP="00E47277">
      <w:pPr>
        <w:spacing w:after="0" w:line="240" w:lineRule="auto"/>
        <w:ind w:firstLine="720"/>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г) прохождение обучения по тематике, связанной с проведением проверок качества выполнения заданий в соответствии с МСК 2, международным стандартом аудита (далее – МСА) 220 (пересмотренным) «Управление качеством при проведении аудита финансовой отч</w:t>
      </w:r>
      <w:r w:rsidR="00341CF2" w:rsidRPr="00E47277">
        <w:rPr>
          <w:rFonts w:ascii="Times New Roman" w:hAnsi="Times New Roman" w:cs="Times New Roman"/>
          <w:sz w:val="25"/>
          <w:szCs w:val="25"/>
          <w:lang w:val="ru-RU"/>
        </w:rPr>
        <w:t>ё</w:t>
      </w:r>
      <w:r w:rsidRPr="00E47277">
        <w:rPr>
          <w:rFonts w:ascii="Times New Roman" w:hAnsi="Times New Roman" w:cs="Times New Roman"/>
          <w:sz w:val="25"/>
          <w:szCs w:val="25"/>
          <w:lang w:val="ru-RU"/>
        </w:rPr>
        <w:t>тности»</w:t>
      </w:r>
      <w:r w:rsidRPr="00E47277">
        <w:rPr>
          <w:rFonts w:ascii="Times New Roman" w:hAnsi="Times New Roman" w:cs="Times New Roman"/>
          <w:sz w:val="25"/>
          <w:szCs w:val="25"/>
          <w:vertAlign w:val="superscript"/>
          <w:lang w:val="ru-RU"/>
        </w:rPr>
        <w:t>[</w:t>
      </w:r>
      <w:r w:rsidRPr="00E47277">
        <w:rPr>
          <w:rStyle w:val="a6"/>
          <w:rFonts w:ascii="Times New Roman" w:hAnsi="Times New Roman" w:cs="Times New Roman"/>
          <w:sz w:val="25"/>
          <w:szCs w:val="25"/>
          <w:lang w:val="ru-RU" w:eastAsia="ru-RU"/>
        </w:rPr>
        <w:footnoteReference w:id="5"/>
      </w:r>
      <w:r w:rsidRPr="00E47277">
        <w:rPr>
          <w:rFonts w:ascii="Times New Roman" w:hAnsi="Times New Roman" w:cs="Times New Roman"/>
          <w:sz w:val="25"/>
          <w:szCs w:val="25"/>
          <w:vertAlign w:val="superscript"/>
          <w:lang w:val="ru-RU"/>
        </w:rPr>
        <w:t>]</w:t>
      </w:r>
      <w:r w:rsidRPr="00E47277">
        <w:rPr>
          <w:rFonts w:ascii="Times New Roman" w:hAnsi="Times New Roman" w:cs="Times New Roman"/>
          <w:sz w:val="25"/>
          <w:szCs w:val="25"/>
          <w:lang w:val="ru-RU"/>
        </w:rPr>
        <w:t>, МСА 220 «Контроль качества при проведении аудита финансовой отч</w:t>
      </w:r>
      <w:r w:rsidR="00341CF2" w:rsidRPr="00E47277">
        <w:rPr>
          <w:rFonts w:ascii="Times New Roman" w:hAnsi="Times New Roman" w:cs="Times New Roman"/>
          <w:sz w:val="25"/>
          <w:szCs w:val="25"/>
          <w:lang w:val="ru-RU"/>
        </w:rPr>
        <w:t>ё</w:t>
      </w:r>
      <w:r w:rsidRPr="00E47277">
        <w:rPr>
          <w:rFonts w:ascii="Times New Roman" w:hAnsi="Times New Roman" w:cs="Times New Roman"/>
          <w:sz w:val="25"/>
          <w:szCs w:val="25"/>
          <w:lang w:val="ru-RU"/>
        </w:rPr>
        <w:t>тности»</w:t>
      </w:r>
      <w:r w:rsidRPr="00E47277">
        <w:rPr>
          <w:rFonts w:ascii="Times New Roman" w:hAnsi="Times New Roman" w:cs="Times New Roman"/>
          <w:sz w:val="25"/>
          <w:szCs w:val="25"/>
          <w:vertAlign w:val="superscript"/>
          <w:lang w:val="ru-RU"/>
        </w:rPr>
        <w:t>[</w:t>
      </w:r>
      <w:r w:rsidRPr="00E47277">
        <w:rPr>
          <w:rStyle w:val="a6"/>
          <w:rFonts w:ascii="Times New Roman" w:hAnsi="Times New Roman" w:cs="Times New Roman"/>
          <w:sz w:val="25"/>
          <w:szCs w:val="25"/>
          <w:lang w:val="ru-RU"/>
        </w:rPr>
        <w:footnoteReference w:id="6"/>
      </w:r>
      <w:r w:rsidRPr="00E47277">
        <w:rPr>
          <w:rFonts w:ascii="Times New Roman" w:hAnsi="Times New Roman" w:cs="Times New Roman"/>
          <w:sz w:val="25"/>
          <w:szCs w:val="25"/>
          <w:vertAlign w:val="superscript"/>
          <w:lang w:val="ru-RU"/>
        </w:rPr>
        <w:t>]</w:t>
      </w:r>
      <w:r w:rsidRPr="00E47277">
        <w:rPr>
          <w:rFonts w:ascii="Times New Roman" w:hAnsi="Times New Roman" w:cs="Times New Roman"/>
          <w:sz w:val="25"/>
          <w:szCs w:val="25"/>
          <w:lang w:val="ru-RU"/>
        </w:rPr>
        <w:t xml:space="preserve">  или наличие опыта проведения проверок качества выполнения заданий в соответствии с указанными стандартами (в отношении подпункта «г» пункта 3); </w:t>
      </w:r>
    </w:p>
    <w:p w14:paraId="423B417A" w14:textId="6870EDC0" w:rsidR="001169A4" w:rsidRPr="00E47277" w:rsidRDefault="001169A4" w:rsidP="00E47277">
      <w:pPr>
        <w:spacing w:after="0" w:line="240" w:lineRule="auto"/>
        <w:ind w:firstLine="720"/>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д) результаты инспектирования заданий, в которых привлеч</w:t>
      </w:r>
      <w:r w:rsidR="00341CF2" w:rsidRPr="00E47277">
        <w:rPr>
          <w:rFonts w:ascii="Times New Roman" w:hAnsi="Times New Roman" w:cs="Times New Roman"/>
          <w:sz w:val="25"/>
          <w:szCs w:val="25"/>
          <w:lang w:val="ru-RU"/>
        </w:rPr>
        <w:t>ё</w:t>
      </w:r>
      <w:r w:rsidRPr="00E47277">
        <w:rPr>
          <w:rFonts w:ascii="Times New Roman" w:hAnsi="Times New Roman" w:cs="Times New Roman"/>
          <w:sz w:val="25"/>
          <w:szCs w:val="25"/>
          <w:lang w:val="ru-RU"/>
        </w:rPr>
        <w:t>нное лицо являлось членом аудиторской группы или лицом, осуществлявшим проверку качества выполнения задания, результаты внешнего кон</w:t>
      </w:r>
      <w:r w:rsidR="00341CF2" w:rsidRPr="00E47277">
        <w:rPr>
          <w:rFonts w:ascii="Times New Roman" w:hAnsi="Times New Roman" w:cs="Times New Roman"/>
          <w:sz w:val="25"/>
          <w:szCs w:val="25"/>
          <w:lang w:val="ru-RU"/>
        </w:rPr>
        <w:t>троля деятельности в течение трё</w:t>
      </w:r>
      <w:r w:rsidRPr="00E47277">
        <w:rPr>
          <w:rFonts w:ascii="Times New Roman" w:hAnsi="Times New Roman" w:cs="Times New Roman"/>
          <w:sz w:val="25"/>
          <w:szCs w:val="25"/>
          <w:lang w:val="ru-RU"/>
        </w:rPr>
        <w:t xml:space="preserve">х лет, непосредственно предшествовавших году, в котором лицо привлекается для проведения проверки согласно пункту 2.11.Т Правил (в отношении подпунктов «а», «в»-«г» пункта 3); </w:t>
      </w:r>
    </w:p>
    <w:p w14:paraId="354E43B3" w14:textId="3499FA90" w:rsidR="00F163EA" w:rsidRPr="00E47277" w:rsidRDefault="001169A4" w:rsidP="00E47277">
      <w:pPr>
        <w:spacing w:after="0" w:line="240" w:lineRule="auto"/>
        <w:ind w:firstLine="720"/>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е) согласованный между аудиторской организацией, выражающей мнение о бухгалтерской (ф</w:t>
      </w:r>
      <w:r w:rsidR="00341CF2" w:rsidRPr="00E47277">
        <w:rPr>
          <w:rFonts w:ascii="Times New Roman" w:hAnsi="Times New Roman" w:cs="Times New Roman"/>
          <w:sz w:val="25"/>
          <w:szCs w:val="25"/>
          <w:lang w:val="ru-RU"/>
        </w:rPr>
        <w:t>инансовой) отчё</w:t>
      </w:r>
      <w:r w:rsidRPr="00E47277">
        <w:rPr>
          <w:rFonts w:ascii="Times New Roman" w:hAnsi="Times New Roman" w:cs="Times New Roman"/>
          <w:sz w:val="25"/>
          <w:szCs w:val="25"/>
          <w:lang w:val="ru-RU"/>
        </w:rPr>
        <w:t>тности соответствующ</w:t>
      </w:r>
      <w:r w:rsidR="00341CF2" w:rsidRPr="00E47277">
        <w:rPr>
          <w:rFonts w:ascii="Times New Roman" w:hAnsi="Times New Roman" w:cs="Times New Roman"/>
          <w:sz w:val="25"/>
          <w:szCs w:val="25"/>
          <w:lang w:val="ru-RU"/>
        </w:rPr>
        <w:t>его аудируемого лица, и привлечё</w:t>
      </w:r>
      <w:r w:rsidRPr="00E47277">
        <w:rPr>
          <w:rFonts w:ascii="Times New Roman" w:hAnsi="Times New Roman" w:cs="Times New Roman"/>
          <w:sz w:val="25"/>
          <w:szCs w:val="25"/>
          <w:lang w:val="ru-RU"/>
        </w:rPr>
        <w:t>нным лицом, или аудиторской организацией (индивидуальным аудитором), работником которой (к</w:t>
      </w:r>
      <w:r w:rsidR="00341CF2" w:rsidRPr="00E47277">
        <w:rPr>
          <w:rFonts w:ascii="Times New Roman" w:hAnsi="Times New Roman" w:cs="Times New Roman"/>
          <w:sz w:val="25"/>
          <w:szCs w:val="25"/>
          <w:lang w:val="ru-RU"/>
        </w:rPr>
        <w:t>оторого) является такое привлечё</w:t>
      </w:r>
      <w:r w:rsidRPr="00E47277">
        <w:rPr>
          <w:rFonts w:ascii="Times New Roman" w:hAnsi="Times New Roman" w:cs="Times New Roman"/>
          <w:sz w:val="25"/>
          <w:szCs w:val="25"/>
          <w:lang w:val="ru-RU"/>
        </w:rPr>
        <w:t>нное лицо, г</w:t>
      </w:r>
      <w:r w:rsidR="00341CF2" w:rsidRPr="00E47277">
        <w:rPr>
          <w:rFonts w:ascii="Times New Roman" w:hAnsi="Times New Roman" w:cs="Times New Roman"/>
          <w:sz w:val="25"/>
          <w:szCs w:val="25"/>
          <w:lang w:val="ru-RU"/>
        </w:rPr>
        <w:t>рафик вовлечения такого привлечё</w:t>
      </w:r>
      <w:r w:rsidRPr="00E47277">
        <w:rPr>
          <w:rFonts w:ascii="Times New Roman" w:hAnsi="Times New Roman" w:cs="Times New Roman"/>
          <w:sz w:val="25"/>
          <w:szCs w:val="25"/>
          <w:lang w:val="ru-RU"/>
        </w:rPr>
        <w:t xml:space="preserve">нного лица в проверяемое аудиторское задание, иное подтверждение аудиторской организацией (индивидуальным аудитором), работником которой (которого) </w:t>
      </w:r>
      <w:r w:rsidR="00597C19" w:rsidRPr="00E47277">
        <w:rPr>
          <w:rFonts w:ascii="Times New Roman" w:hAnsi="Times New Roman" w:cs="Times New Roman"/>
          <w:sz w:val="25"/>
          <w:szCs w:val="25"/>
          <w:lang w:val="ru-RU"/>
        </w:rPr>
        <w:t>является такое привлечённое лицо, согласия с привлечением этого лица в определённый срок и на определённое время (в отношении наличия достаточного времени);</w:t>
      </w:r>
    </w:p>
    <w:p w14:paraId="1687F9C1" w14:textId="55181BAD" w:rsidR="00F163EA" w:rsidRPr="00E47277" w:rsidRDefault="00F163EA" w:rsidP="00E47277">
      <w:pPr>
        <w:spacing w:after="0" w:line="240" w:lineRule="auto"/>
        <w:ind w:firstLine="720"/>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 xml:space="preserve">ж) иные свидетельства того, </w:t>
      </w:r>
      <w:r w:rsidR="00341CF2" w:rsidRPr="00E47277">
        <w:rPr>
          <w:rFonts w:ascii="Times New Roman" w:hAnsi="Times New Roman" w:cs="Times New Roman"/>
          <w:sz w:val="25"/>
          <w:szCs w:val="25"/>
          <w:lang w:val="ru-RU"/>
        </w:rPr>
        <w:t>что привлечё</w:t>
      </w:r>
      <w:r w:rsidRPr="00E47277">
        <w:rPr>
          <w:rFonts w:ascii="Times New Roman" w:hAnsi="Times New Roman" w:cs="Times New Roman"/>
          <w:sz w:val="25"/>
          <w:szCs w:val="25"/>
          <w:lang w:val="ru-RU"/>
        </w:rPr>
        <w:t>нное лицо обладает профессиональной компетентностью и способностями для проведения проверки, предусмотренной пунктом 2.11.Т Правил.</w:t>
      </w:r>
    </w:p>
    <w:p w14:paraId="53CA10CC" w14:textId="1C162EC1" w:rsidR="00F163EA" w:rsidRPr="00E47277" w:rsidRDefault="00F163EA" w:rsidP="00E47277">
      <w:pPr>
        <w:spacing w:after="0" w:line="240" w:lineRule="auto"/>
        <w:jc w:val="both"/>
        <w:rPr>
          <w:rFonts w:ascii="Arial" w:hAnsi="Arial" w:cs="Arial"/>
          <w:sz w:val="25"/>
          <w:szCs w:val="25"/>
          <w:lang w:val="ru-RU"/>
        </w:rPr>
      </w:pPr>
      <w:r w:rsidRPr="00E47277">
        <w:rPr>
          <w:rFonts w:ascii="Arial" w:hAnsi="Arial" w:cs="Arial"/>
          <w:sz w:val="25"/>
          <w:szCs w:val="25"/>
          <w:lang w:val="ru-RU"/>
        </w:rPr>
        <w:t xml:space="preserve"> </w:t>
      </w:r>
    </w:p>
    <w:p w14:paraId="71B2E878" w14:textId="77777777" w:rsidR="00E47277" w:rsidRPr="00E47277" w:rsidRDefault="00E47277" w:rsidP="00E47277">
      <w:pPr>
        <w:spacing w:after="0" w:line="240" w:lineRule="auto"/>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 xml:space="preserve">           Обращаем внимание, что настоящее разъяснение носит исключительно информационный характер и было подготовлено только для целей содействия членам СРО ААС в применении положений законодательства, регулирующего аудиторскую деятельность в РФ. </w:t>
      </w:r>
    </w:p>
    <w:p w14:paraId="778D3E9F" w14:textId="77777777" w:rsidR="00E47277" w:rsidRPr="00E47277" w:rsidRDefault="00E47277" w:rsidP="00E47277">
      <w:pPr>
        <w:spacing w:after="0" w:line="240" w:lineRule="auto"/>
        <w:ind w:firstLine="567"/>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Позиция Комитетов СРО ААС не может рассматриваться как официальное толкование требований нормативных правовых актов, заменяющее собственное профессиональное суждение аудитора, руководствуясь которым, аудитор может прийти к выводам, отличным от изложенных в настоящем Разъяснении.</w:t>
      </w:r>
    </w:p>
    <w:p w14:paraId="00A863DC" w14:textId="77777777" w:rsidR="00E47277" w:rsidRPr="00E47277" w:rsidRDefault="00E47277" w:rsidP="00E47277">
      <w:pPr>
        <w:spacing w:after="0" w:line="240" w:lineRule="auto"/>
        <w:ind w:firstLine="567"/>
        <w:jc w:val="both"/>
        <w:rPr>
          <w:rFonts w:ascii="Times New Roman" w:hAnsi="Times New Roman" w:cs="Times New Roman"/>
          <w:sz w:val="25"/>
          <w:szCs w:val="25"/>
          <w:lang w:val="ru-RU"/>
        </w:rPr>
      </w:pPr>
      <w:r w:rsidRPr="00E47277">
        <w:rPr>
          <w:rFonts w:ascii="Times New Roman" w:hAnsi="Times New Roman" w:cs="Times New Roman"/>
          <w:sz w:val="25"/>
          <w:szCs w:val="25"/>
          <w:lang w:val="ru-RU"/>
        </w:rPr>
        <w:t xml:space="preserve">Позиция органов Федерального казначейства, Минфина России, Банка России или суда по указанным вопросам может отличаться от позиции СРО ААС. </w:t>
      </w:r>
    </w:p>
    <w:p w14:paraId="570B9968" w14:textId="77777777" w:rsidR="00E47277" w:rsidRPr="00E47277" w:rsidRDefault="00E47277" w:rsidP="00E47277">
      <w:pPr>
        <w:pStyle w:val="Standard"/>
        <w:jc w:val="both"/>
        <w:rPr>
          <w:rFonts w:eastAsiaTheme="minorHAnsi"/>
          <w:kern w:val="0"/>
          <w:sz w:val="25"/>
          <w:szCs w:val="25"/>
          <w:lang w:eastAsia="en-US"/>
        </w:rPr>
      </w:pPr>
    </w:p>
    <w:p w14:paraId="7309043E" w14:textId="77777777" w:rsidR="00E47277" w:rsidRPr="00E47277" w:rsidRDefault="00E47277" w:rsidP="00E47277">
      <w:pPr>
        <w:pStyle w:val="Standard"/>
        <w:jc w:val="both"/>
        <w:rPr>
          <w:rFonts w:eastAsiaTheme="minorHAnsi"/>
          <w:kern w:val="0"/>
          <w:sz w:val="25"/>
          <w:szCs w:val="25"/>
          <w:lang w:eastAsia="en-US"/>
        </w:rPr>
      </w:pPr>
    </w:p>
    <w:p w14:paraId="3BF4C58B" w14:textId="77777777" w:rsidR="00E47277" w:rsidRPr="00E47277" w:rsidRDefault="00E47277" w:rsidP="00E47277">
      <w:pPr>
        <w:spacing w:after="0" w:line="240" w:lineRule="auto"/>
        <w:ind w:left="567" w:hanging="567"/>
        <w:rPr>
          <w:rFonts w:ascii="Times New Roman" w:hAnsi="Times New Roman" w:cs="Times New Roman"/>
          <w:sz w:val="25"/>
          <w:szCs w:val="25"/>
          <w:lang w:val="ru-RU"/>
        </w:rPr>
      </w:pPr>
      <w:r w:rsidRPr="00E47277">
        <w:rPr>
          <w:rFonts w:ascii="Times New Roman" w:hAnsi="Times New Roman" w:cs="Times New Roman"/>
          <w:sz w:val="25"/>
          <w:szCs w:val="25"/>
          <w:lang w:val="ru-RU"/>
        </w:rPr>
        <w:t>«___» июня 2024 года</w:t>
      </w:r>
    </w:p>
    <w:p w14:paraId="47A8DB86" w14:textId="0776376F" w:rsidR="00D62E1B" w:rsidRPr="00E47277" w:rsidRDefault="00D62E1B" w:rsidP="00E47277">
      <w:pPr>
        <w:spacing w:after="0" w:line="240" w:lineRule="auto"/>
        <w:ind w:firstLine="720"/>
        <w:jc w:val="both"/>
        <w:rPr>
          <w:rFonts w:ascii="Arial" w:hAnsi="Arial" w:cs="Arial"/>
          <w:sz w:val="25"/>
          <w:szCs w:val="25"/>
          <w:lang w:val="ru-RU"/>
        </w:rPr>
      </w:pPr>
    </w:p>
    <w:sectPr w:rsidR="00D62E1B" w:rsidRPr="00E47277" w:rsidSect="00E47277">
      <w:pgSz w:w="12240" w:h="15840"/>
      <w:pgMar w:top="851" w:right="758" w:bottom="127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DEF3" w14:textId="77777777" w:rsidR="0072026B" w:rsidRDefault="0072026B" w:rsidP="00695D2E">
      <w:pPr>
        <w:spacing w:after="0" w:line="240" w:lineRule="auto"/>
      </w:pPr>
      <w:r>
        <w:separator/>
      </w:r>
    </w:p>
  </w:endnote>
  <w:endnote w:type="continuationSeparator" w:id="0">
    <w:p w14:paraId="3A9F23CA" w14:textId="77777777" w:rsidR="0072026B" w:rsidRDefault="0072026B" w:rsidP="006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0D40" w14:textId="77777777" w:rsidR="0072026B" w:rsidRDefault="0072026B" w:rsidP="00695D2E">
      <w:pPr>
        <w:spacing w:after="0" w:line="240" w:lineRule="auto"/>
      </w:pPr>
      <w:r>
        <w:separator/>
      </w:r>
    </w:p>
  </w:footnote>
  <w:footnote w:type="continuationSeparator" w:id="0">
    <w:p w14:paraId="16EF620F" w14:textId="77777777" w:rsidR="0072026B" w:rsidRDefault="0072026B" w:rsidP="00695D2E">
      <w:pPr>
        <w:spacing w:after="0" w:line="240" w:lineRule="auto"/>
      </w:pPr>
      <w:r>
        <w:continuationSeparator/>
      </w:r>
    </w:p>
  </w:footnote>
  <w:footnote w:id="1">
    <w:p w14:paraId="502599C5" w14:textId="77777777" w:rsidR="001169A4" w:rsidRPr="00743169" w:rsidRDefault="001169A4" w:rsidP="001169A4">
      <w:pPr>
        <w:pStyle w:val="Default"/>
        <w:rPr>
          <w:rFonts w:ascii="Arial" w:hAnsi="Arial" w:cs="Arial"/>
          <w:sz w:val="18"/>
          <w:szCs w:val="18"/>
          <w:lang w:val="ru-RU"/>
        </w:rPr>
      </w:pPr>
      <w:r w:rsidRPr="00743169">
        <w:rPr>
          <w:rFonts w:ascii="Arial" w:hAnsi="Arial" w:cs="Arial"/>
          <w:sz w:val="18"/>
          <w:szCs w:val="18"/>
          <w:vertAlign w:val="superscript"/>
          <w:lang w:val="ru-RU"/>
        </w:rPr>
        <w:t>[</w:t>
      </w:r>
      <w:r w:rsidRPr="00743169">
        <w:rPr>
          <w:rStyle w:val="a6"/>
          <w:rFonts w:ascii="Arial" w:hAnsi="Arial" w:cs="Arial"/>
          <w:sz w:val="18"/>
          <w:szCs w:val="18"/>
        </w:rPr>
        <w:footnoteRef/>
      </w:r>
      <w:r w:rsidRPr="00743169">
        <w:rPr>
          <w:rFonts w:ascii="Arial" w:hAnsi="Arial" w:cs="Arial"/>
          <w:sz w:val="18"/>
          <w:szCs w:val="18"/>
          <w:vertAlign w:val="superscript"/>
          <w:lang w:val="ru-RU"/>
        </w:rPr>
        <w:t>]</w:t>
      </w:r>
      <w:r w:rsidRPr="00743169">
        <w:rPr>
          <w:rFonts w:ascii="Arial" w:hAnsi="Arial" w:cs="Arial"/>
          <w:sz w:val="18"/>
          <w:szCs w:val="18"/>
          <w:lang w:val="ru-RU"/>
        </w:rPr>
        <w:t xml:space="preserve"> Утверждены решением Правления СРО ААС от 27.12.2023 (протокол № 658).  </w:t>
      </w:r>
    </w:p>
  </w:footnote>
  <w:footnote w:id="2">
    <w:p w14:paraId="4D88EA5D" w14:textId="77777777" w:rsidR="001169A4" w:rsidRPr="00743169" w:rsidRDefault="001169A4" w:rsidP="001169A4">
      <w:pPr>
        <w:pStyle w:val="a4"/>
        <w:rPr>
          <w:rFonts w:ascii="Arial" w:hAnsi="Arial" w:cs="Arial"/>
          <w:sz w:val="18"/>
          <w:szCs w:val="18"/>
          <w:vertAlign w:val="superscript"/>
          <w:lang w:val="ru-RU"/>
        </w:rPr>
      </w:pPr>
      <w:r w:rsidRPr="00743169">
        <w:rPr>
          <w:rFonts w:ascii="Arial" w:hAnsi="Arial" w:cs="Arial"/>
          <w:sz w:val="18"/>
          <w:szCs w:val="18"/>
          <w:vertAlign w:val="superscript"/>
          <w:lang w:val="ru-RU"/>
        </w:rPr>
        <w:t>[</w:t>
      </w:r>
      <w:r w:rsidRPr="00743169">
        <w:rPr>
          <w:rStyle w:val="a6"/>
          <w:rFonts w:ascii="Arial" w:hAnsi="Arial" w:cs="Arial"/>
          <w:sz w:val="18"/>
          <w:szCs w:val="18"/>
        </w:rPr>
        <w:footnoteRef/>
      </w:r>
      <w:r w:rsidRPr="00743169">
        <w:rPr>
          <w:rFonts w:ascii="Arial" w:hAnsi="Arial" w:cs="Arial"/>
          <w:sz w:val="18"/>
          <w:szCs w:val="18"/>
          <w:vertAlign w:val="superscript"/>
          <w:lang w:val="ru-RU"/>
        </w:rPr>
        <w:t xml:space="preserve">] </w:t>
      </w:r>
      <w:r w:rsidRPr="00743169">
        <w:rPr>
          <w:rFonts w:ascii="Arial" w:hAnsi="Arial" w:cs="Arial"/>
          <w:color w:val="000000"/>
          <w:sz w:val="18"/>
          <w:szCs w:val="18"/>
          <w:lang w:val="ru-RU"/>
        </w:rPr>
        <w:t>Утвержден решением Правления СРО ААС от 22.12.2023 (протокол № 657).</w:t>
      </w:r>
      <w:r w:rsidRPr="00743169">
        <w:rPr>
          <w:rFonts w:ascii="Arial" w:hAnsi="Arial" w:cs="Arial"/>
          <w:sz w:val="18"/>
          <w:szCs w:val="18"/>
          <w:lang w:val="ru-RU"/>
        </w:rPr>
        <w:t> </w:t>
      </w:r>
    </w:p>
  </w:footnote>
  <w:footnote w:id="3">
    <w:p w14:paraId="1893DCC9" w14:textId="77777777" w:rsidR="001169A4" w:rsidRPr="00743169" w:rsidRDefault="001169A4" w:rsidP="001169A4">
      <w:pPr>
        <w:pStyle w:val="a4"/>
        <w:rPr>
          <w:rFonts w:ascii="Arial" w:hAnsi="Arial" w:cs="Arial"/>
          <w:sz w:val="18"/>
          <w:szCs w:val="18"/>
          <w:lang w:val="ru-RU"/>
        </w:rPr>
      </w:pPr>
      <w:r w:rsidRPr="00743169">
        <w:rPr>
          <w:rFonts w:ascii="Arial" w:hAnsi="Arial" w:cs="Arial"/>
          <w:sz w:val="18"/>
          <w:szCs w:val="18"/>
          <w:vertAlign w:val="superscript"/>
          <w:lang w:val="ru-RU"/>
        </w:rPr>
        <w:t>[</w:t>
      </w:r>
      <w:r w:rsidRPr="00743169">
        <w:rPr>
          <w:rStyle w:val="a6"/>
          <w:rFonts w:ascii="Arial" w:hAnsi="Arial" w:cs="Arial"/>
          <w:sz w:val="18"/>
          <w:szCs w:val="18"/>
        </w:rPr>
        <w:footnoteRef/>
      </w:r>
      <w:r w:rsidRPr="00743169">
        <w:rPr>
          <w:rFonts w:ascii="Arial" w:hAnsi="Arial" w:cs="Arial"/>
          <w:sz w:val="18"/>
          <w:szCs w:val="18"/>
          <w:vertAlign w:val="superscript"/>
          <w:lang w:val="ru-RU"/>
        </w:rPr>
        <w:t>]</w:t>
      </w:r>
      <w:r w:rsidRPr="00743169">
        <w:rPr>
          <w:rFonts w:ascii="Arial" w:hAnsi="Arial" w:cs="Arial"/>
          <w:sz w:val="18"/>
          <w:szCs w:val="18"/>
          <w:lang w:val="ru-RU"/>
        </w:rPr>
        <w:t xml:space="preserve"> Введен в действие приказом Министерства Финансов Российской Федерации от 16.10.2023 № 166н.</w:t>
      </w:r>
    </w:p>
  </w:footnote>
  <w:footnote w:id="4">
    <w:p w14:paraId="7B89CD2E" w14:textId="1B0010F2" w:rsidR="001169A4" w:rsidRPr="00743169" w:rsidRDefault="001169A4" w:rsidP="00E47277">
      <w:pPr>
        <w:pStyle w:val="a4"/>
        <w:jc w:val="both"/>
        <w:rPr>
          <w:lang w:val="ru-RU"/>
        </w:rPr>
      </w:pPr>
      <w:r w:rsidRPr="00743169">
        <w:rPr>
          <w:rFonts w:ascii="Arial" w:hAnsi="Arial" w:cs="Arial"/>
          <w:sz w:val="18"/>
          <w:szCs w:val="18"/>
          <w:vertAlign w:val="superscript"/>
          <w:lang w:val="ru-RU"/>
        </w:rPr>
        <w:t>[</w:t>
      </w:r>
      <w:r w:rsidRPr="00743169">
        <w:rPr>
          <w:rStyle w:val="a6"/>
          <w:rFonts w:ascii="Arial" w:hAnsi="Arial" w:cs="Arial"/>
          <w:sz w:val="18"/>
          <w:szCs w:val="18"/>
        </w:rPr>
        <w:footnoteRef/>
      </w:r>
      <w:r w:rsidRPr="00743169">
        <w:rPr>
          <w:rFonts w:ascii="Arial" w:hAnsi="Arial" w:cs="Arial"/>
          <w:sz w:val="18"/>
          <w:szCs w:val="18"/>
          <w:vertAlign w:val="superscript"/>
          <w:lang w:val="ru-RU"/>
        </w:rPr>
        <w:t>]</w:t>
      </w:r>
      <w:r w:rsidRPr="00743169">
        <w:rPr>
          <w:rFonts w:ascii="Arial" w:hAnsi="Arial" w:cs="Arial"/>
          <w:sz w:val="18"/>
          <w:szCs w:val="18"/>
          <w:lang w:val="ru-RU"/>
        </w:rPr>
        <w:t xml:space="preserve"> Согласно пункту 18 МСК 2 привлеч</w:t>
      </w:r>
      <w:r w:rsidR="00341CF2">
        <w:rPr>
          <w:rFonts w:ascii="Arial" w:hAnsi="Arial" w:cs="Arial"/>
          <w:sz w:val="18"/>
          <w:szCs w:val="18"/>
          <w:lang w:val="ru-RU"/>
        </w:rPr>
        <w:t>ё</w:t>
      </w:r>
      <w:r w:rsidRPr="00743169">
        <w:rPr>
          <w:rFonts w:ascii="Arial" w:hAnsi="Arial" w:cs="Arial"/>
          <w:sz w:val="18"/>
          <w:szCs w:val="18"/>
          <w:lang w:val="ru-RU"/>
        </w:rPr>
        <w:t>нное лицо должно также соблюдать законы и нормативные акты, которые применимы к вопросам соответствия такого лица критериям для его назначения. Однако в настоящее время законодательством Российской Федерации, иными нормативными правовыми актами, которые регулируют аудиторскую деятельность, не установлены тре</w:t>
      </w:r>
      <w:r w:rsidR="00341CF2">
        <w:rPr>
          <w:rFonts w:ascii="Arial" w:hAnsi="Arial" w:cs="Arial"/>
          <w:sz w:val="18"/>
          <w:szCs w:val="18"/>
          <w:lang w:val="ru-RU"/>
        </w:rPr>
        <w:t>бования к привлечё</w:t>
      </w:r>
      <w:r w:rsidRPr="00743169">
        <w:rPr>
          <w:rFonts w:ascii="Arial" w:hAnsi="Arial" w:cs="Arial"/>
          <w:sz w:val="18"/>
          <w:szCs w:val="18"/>
          <w:lang w:val="ru-RU"/>
        </w:rPr>
        <w:t>нному лицу,</w:t>
      </w:r>
      <w:r w:rsidRPr="0003179E">
        <w:rPr>
          <w:rFonts w:ascii="Arial" w:hAnsi="Arial" w:cs="Arial"/>
          <w:sz w:val="18"/>
          <w:szCs w:val="18"/>
          <w:lang w:val="ru-RU"/>
        </w:rPr>
        <w:t xml:space="preserve"> дополнительные к требованиям, установленным стандарта</w:t>
      </w:r>
      <w:r>
        <w:rPr>
          <w:rFonts w:ascii="Arial" w:hAnsi="Arial" w:cs="Arial"/>
          <w:sz w:val="18"/>
          <w:szCs w:val="18"/>
          <w:lang w:val="ru-RU"/>
        </w:rPr>
        <w:t>ми</w:t>
      </w:r>
      <w:r w:rsidRPr="0003179E">
        <w:rPr>
          <w:rFonts w:ascii="Arial" w:hAnsi="Arial" w:cs="Arial"/>
          <w:sz w:val="18"/>
          <w:szCs w:val="18"/>
          <w:lang w:val="ru-RU"/>
        </w:rPr>
        <w:t xml:space="preserve"> аудиторской деятельности</w:t>
      </w:r>
      <w:r>
        <w:rPr>
          <w:rFonts w:ascii="Arial" w:hAnsi="Arial" w:cs="Arial"/>
          <w:sz w:val="18"/>
          <w:szCs w:val="18"/>
          <w:lang w:val="ru-RU"/>
        </w:rPr>
        <w:t>,</w:t>
      </w:r>
      <w:r w:rsidRPr="0003179E">
        <w:rPr>
          <w:rFonts w:ascii="Arial" w:hAnsi="Arial" w:cs="Arial"/>
          <w:sz w:val="18"/>
          <w:szCs w:val="18"/>
          <w:lang w:val="ru-RU"/>
        </w:rPr>
        <w:t xml:space="preserve"> Кодекс</w:t>
      </w:r>
      <w:r>
        <w:rPr>
          <w:rFonts w:ascii="Arial" w:hAnsi="Arial" w:cs="Arial"/>
          <w:sz w:val="18"/>
          <w:szCs w:val="18"/>
          <w:lang w:val="ru-RU"/>
        </w:rPr>
        <w:t>ом</w:t>
      </w:r>
      <w:r w:rsidRPr="0003179E">
        <w:rPr>
          <w:rFonts w:ascii="Arial" w:hAnsi="Arial" w:cs="Arial"/>
          <w:sz w:val="18"/>
          <w:szCs w:val="18"/>
          <w:lang w:val="ru-RU"/>
        </w:rPr>
        <w:t>, Правила</w:t>
      </w:r>
      <w:r>
        <w:rPr>
          <w:rFonts w:ascii="Arial" w:hAnsi="Arial" w:cs="Arial"/>
          <w:sz w:val="18"/>
          <w:szCs w:val="18"/>
          <w:lang w:val="ru-RU"/>
        </w:rPr>
        <w:t>ми.</w:t>
      </w:r>
    </w:p>
  </w:footnote>
  <w:footnote w:id="5">
    <w:p w14:paraId="70914675" w14:textId="77777777" w:rsidR="001169A4" w:rsidRPr="003F2D9A" w:rsidRDefault="001169A4" w:rsidP="001169A4">
      <w:pPr>
        <w:pStyle w:val="a4"/>
        <w:rPr>
          <w:rFonts w:ascii="Arial" w:hAnsi="Arial" w:cs="Arial"/>
          <w:sz w:val="18"/>
          <w:szCs w:val="18"/>
          <w:lang w:val="ru-RU"/>
        </w:rPr>
      </w:pPr>
      <w:r w:rsidRPr="003F2D9A">
        <w:rPr>
          <w:rFonts w:ascii="Arial" w:hAnsi="Arial" w:cs="Arial"/>
          <w:sz w:val="18"/>
          <w:szCs w:val="18"/>
          <w:vertAlign w:val="superscript"/>
          <w:lang w:val="ru-RU"/>
        </w:rPr>
        <w:t>[</w:t>
      </w:r>
      <w:r w:rsidRPr="003F2D9A">
        <w:rPr>
          <w:rStyle w:val="a6"/>
          <w:rFonts w:ascii="Arial" w:hAnsi="Arial" w:cs="Arial"/>
          <w:sz w:val="18"/>
          <w:szCs w:val="18"/>
        </w:rPr>
        <w:footnoteRef/>
      </w:r>
      <w:r w:rsidRPr="003F2D9A">
        <w:rPr>
          <w:rFonts w:ascii="Arial" w:hAnsi="Arial" w:cs="Arial"/>
          <w:sz w:val="18"/>
          <w:szCs w:val="18"/>
          <w:vertAlign w:val="superscript"/>
          <w:lang w:val="ru-RU"/>
        </w:rPr>
        <w:t>]</w:t>
      </w:r>
      <w:r w:rsidRPr="003F2D9A">
        <w:rPr>
          <w:rFonts w:ascii="Arial" w:hAnsi="Arial" w:cs="Arial"/>
          <w:sz w:val="18"/>
          <w:szCs w:val="18"/>
          <w:lang w:val="ru-RU"/>
        </w:rPr>
        <w:t xml:space="preserve"> Введен в действие приказом Министерства Финансов Российской Федерации от 16.10.2023 № 166н.</w:t>
      </w:r>
    </w:p>
  </w:footnote>
  <w:footnote w:id="6">
    <w:p w14:paraId="1048F450" w14:textId="6A66C38C" w:rsidR="001169A4" w:rsidRPr="003F2D9A" w:rsidRDefault="001169A4" w:rsidP="001169A4">
      <w:pPr>
        <w:pStyle w:val="a4"/>
        <w:rPr>
          <w:rFonts w:ascii="Arial" w:hAnsi="Arial" w:cs="Arial"/>
          <w:sz w:val="18"/>
          <w:szCs w:val="18"/>
          <w:lang w:val="ru-RU"/>
        </w:rPr>
      </w:pPr>
      <w:r w:rsidRPr="003F2D9A">
        <w:rPr>
          <w:rFonts w:ascii="Arial" w:hAnsi="Arial" w:cs="Arial"/>
          <w:sz w:val="18"/>
          <w:szCs w:val="18"/>
          <w:vertAlign w:val="superscript"/>
          <w:lang w:val="ru-RU"/>
        </w:rPr>
        <w:t>[</w:t>
      </w:r>
      <w:r w:rsidRPr="003F2D9A">
        <w:rPr>
          <w:rStyle w:val="a6"/>
          <w:rFonts w:ascii="Arial" w:hAnsi="Arial" w:cs="Arial"/>
          <w:sz w:val="18"/>
          <w:szCs w:val="18"/>
        </w:rPr>
        <w:footnoteRef/>
      </w:r>
      <w:r w:rsidRPr="003F2D9A">
        <w:rPr>
          <w:rFonts w:ascii="Arial" w:hAnsi="Arial" w:cs="Arial"/>
          <w:sz w:val="18"/>
          <w:szCs w:val="18"/>
          <w:vertAlign w:val="superscript"/>
          <w:lang w:val="ru-RU"/>
        </w:rPr>
        <w:t>]</w:t>
      </w:r>
      <w:r w:rsidRPr="003F2D9A">
        <w:rPr>
          <w:rFonts w:ascii="Arial" w:hAnsi="Arial" w:cs="Arial"/>
          <w:sz w:val="18"/>
          <w:szCs w:val="18"/>
          <w:lang w:val="ru-RU"/>
        </w:rPr>
        <w:t xml:space="preserve"> Введен в действие приказом Министерства Финансов Российской Федерации от 09.01.2019 </w:t>
      </w:r>
      <w:r w:rsidR="00E24280">
        <w:rPr>
          <w:rFonts w:ascii="Arial" w:hAnsi="Arial" w:cs="Arial"/>
          <w:sz w:val="18"/>
          <w:szCs w:val="18"/>
          <w:lang w:val="ru-RU"/>
        </w:rPr>
        <w:t>№</w:t>
      </w:r>
      <w:r w:rsidRPr="003F2D9A">
        <w:rPr>
          <w:rFonts w:ascii="Arial" w:hAnsi="Arial" w:cs="Arial"/>
          <w:sz w:val="18"/>
          <w:szCs w:val="18"/>
          <w:lang w:val="ru-RU"/>
        </w:rPr>
        <w:t xml:space="preserve"> 2н.</w:t>
      </w:r>
    </w:p>
    <w:p w14:paraId="59D153A3" w14:textId="77777777" w:rsidR="001169A4" w:rsidRPr="00E90E90" w:rsidRDefault="001169A4" w:rsidP="001169A4">
      <w:pPr>
        <w:pStyle w:val="a4"/>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70E633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5043F1"/>
    <w:multiLevelType w:val="hybridMultilevel"/>
    <w:tmpl w:val="18327660"/>
    <w:lvl w:ilvl="0" w:tplc="CFDCE874">
      <w:start w:val="1"/>
      <w:numFmt w:val="decimal"/>
      <w:pStyle w:val="a"/>
      <w:lvlText w:val="%1."/>
      <w:lvlJc w:val="left"/>
      <w:pPr>
        <w:ind w:left="1987" w:hanging="548"/>
      </w:pPr>
      <w:rPr>
        <w:rFonts w:ascii="Times New Roman" w:eastAsia="Arial MT" w:hAnsi="Times New Roman" w:cs="Times New Roman" w:hint="default"/>
        <w:spacing w:val="0"/>
        <w:w w:val="99"/>
        <w:sz w:val="20"/>
        <w:szCs w:val="20"/>
        <w:lang w:val="ru-RU" w:eastAsia="en-US" w:bidi="ar-SA"/>
      </w:rPr>
    </w:lvl>
    <w:lvl w:ilvl="1" w:tplc="3A66B056">
      <w:start w:val="1"/>
      <w:numFmt w:val="lowerLetter"/>
      <w:lvlText w:val="(%2)"/>
      <w:lvlJc w:val="left"/>
      <w:pPr>
        <w:ind w:left="2534" w:hanging="548"/>
      </w:pPr>
      <w:rPr>
        <w:rFonts w:ascii="Times New Roman" w:eastAsia="Arial MT" w:hAnsi="Times New Roman" w:cs="Times New Roman" w:hint="default"/>
        <w:spacing w:val="0"/>
        <w:w w:val="99"/>
        <w:sz w:val="20"/>
        <w:szCs w:val="20"/>
        <w:lang w:val="ru-RU" w:eastAsia="en-US" w:bidi="ar-SA"/>
      </w:rPr>
    </w:lvl>
    <w:lvl w:ilvl="2" w:tplc="C6762A2E">
      <w:start w:val="1"/>
      <w:numFmt w:val="lowerRoman"/>
      <w:lvlText w:val="(%3)"/>
      <w:lvlJc w:val="left"/>
      <w:pPr>
        <w:ind w:left="3082" w:hanging="548"/>
      </w:pPr>
      <w:rPr>
        <w:rFonts w:ascii="Times New Roman" w:eastAsia="Arial MT" w:hAnsi="Times New Roman" w:cs="Times New Roman" w:hint="default"/>
        <w:spacing w:val="-1"/>
        <w:w w:val="99"/>
        <w:sz w:val="20"/>
        <w:szCs w:val="20"/>
        <w:lang w:val="ru-RU" w:eastAsia="en-US" w:bidi="ar-SA"/>
      </w:rPr>
    </w:lvl>
    <w:lvl w:ilvl="3" w:tplc="FE324E64">
      <w:numFmt w:val="bullet"/>
      <w:lvlText w:val="•"/>
      <w:lvlJc w:val="left"/>
      <w:pPr>
        <w:ind w:left="3080" w:hanging="548"/>
      </w:pPr>
      <w:rPr>
        <w:rFonts w:hint="default"/>
        <w:lang w:val="ru-RU" w:eastAsia="en-US" w:bidi="ar-SA"/>
      </w:rPr>
    </w:lvl>
    <w:lvl w:ilvl="4" w:tplc="E856CCF8">
      <w:numFmt w:val="bullet"/>
      <w:lvlText w:val="•"/>
      <w:lvlJc w:val="left"/>
      <w:pPr>
        <w:ind w:left="4234" w:hanging="548"/>
      </w:pPr>
      <w:rPr>
        <w:rFonts w:hint="default"/>
        <w:lang w:val="ru-RU" w:eastAsia="en-US" w:bidi="ar-SA"/>
      </w:rPr>
    </w:lvl>
    <w:lvl w:ilvl="5" w:tplc="BF2EEAC0">
      <w:numFmt w:val="bullet"/>
      <w:lvlText w:val="•"/>
      <w:lvlJc w:val="left"/>
      <w:pPr>
        <w:ind w:left="5388" w:hanging="548"/>
      </w:pPr>
      <w:rPr>
        <w:rFonts w:hint="default"/>
        <w:lang w:val="ru-RU" w:eastAsia="en-US" w:bidi="ar-SA"/>
      </w:rPr>
    </w:lvl>
    <w:lvl w:ilvl="6" w:tplc="48E85D82">
      <w:numFmt w:val="bullet"/>
      <w:lvlText w:val="•"/>
      <w:lvlJc w:val="left"/>
      <w:pPr>
        <w:ind w:left="6542" w:hanging="548"/>
      </w:pPr>
      <w:rPr>
        <w:rFonts w:hint="default"/>
        <w:lang w:val="ru-RU" w:eastAsia="en-US" w:bidi="ar-SA"/>
      </w:rPr>
    </w:lvl>
    <w:lvl w:ilvl="7" w:tplc="BF1070C2">
      <w:numFmt w:val="bullet"/>
      <w:lvlText w:val="•"/>
      <w:lvlJc w:val="left"/>
      <w:pPr>
        <w:ind w:left="7697" w:hanging="548"/>
      </w:pPr>
      <w:rPr>
        <w:rFonts w:hint="default"/>
        <w:lang w:val="ru-RU" w:eastAsia="en-US" w:bidi="ar-SA"/>
      </w:rPr>
    </w:lvl>
    <w:lvl w:ilvl="8" w:tplc="4E80057E">
      <w:numFmt w:val="bullet"/>
      <w:lvlText w:val="•"/>
      <w:lvlJc w:val="left"/>
      <w:pPr>
        <w:ind w:left="8851" w:hanging="548"/>
      </w:pPr>
      <w:rPr>
        <w:rFonts w:hint="default"/>
        <w:lang w:val="ru-RU" w:eastAsia="en-US" w:bidi="ar-SA"/>
      </w:rPr>
    </w:lvl>
  </w:abstractNum>
  <w:abstractNum w:abstractNumId="2" w15:restartNumberingAfterBreak="0">
    <w:nsid w:val="07416DEF"/>
    <w:multiLevelType w:val="hybridMultilevel"/>
    <w:tmpl w:val="796EE706"/>
    <w:lvl w:ilvl="0" w:tplc="7FD0DF02">
      <w:numFmt w:val="bullet"/>
      <w:lvlText w:val=""/>
      <w:lvlJc w:val="left"/>
      <w:pPr>
        <w:ind w:left="2534" w:hanging="548"/>
      </w:pPr>
      <w:rPr>
        <w:rFonts w:ascii="Symbol" w:eastAsia="Symbol" w:hAnsi="Symbol" w:cs="Symbol" w:hint="default"/>
        <w:w w:val="99"/>
        <w:sz w:val="20"/>
        <w:szCs w:val="20"/>
        <w:lang w:val="ru-RU" w:eastAsia="en-US" w:bidi="ar-SA"/>
      </w:rPr>
    </w:lvl>
    <w:lvl w:ilvl="1" w:tplc="FCC22368">
      <w:numFmt w:val="bullet"/>
      <w:lvlText w:val="•"/>
      <w:lvlJc w:val="left"/>
      <w:pPr>
        <w:ind w:left="3402" w:hanging="548"/>
      </w:pPr>
      <w:rPr>
        <w:rFonts w:hint="default"/>
        <w:lang w:val="ru-RU" w:eastAsia="en-US" w:bidi="ar-SA"/>
      </w:rPr>
    </w:lvl>
    <w:lvl w:ilvl="2" w:tplc="DA36E7BA">
      <w:numFmt w:val="bullet"/>
      <w:lvlText w:val="•"/>
      <w:lvlJc w:val="left"/>
      <w:pPr>
        <w:ind w:left="4264" w:hanging="548"/>
      </w:pPr>
      <w:rPr>
        <w:rFonts w:hint="default"/>
        <w:lang w:val="ru-RU" w:eastAsia="en-US" w:bidi="ar-SA"/>
      </w:rPr>
    </w:lvl>
    <w:lvl w:ilvl="3" w:tplc="7B388746">
      <w:numFmt w:val="bullet"/>
      <w:lvlText w:val="•"/>
      <w:lvlJc w:val="left"/>
      <w:pPr>
        <w:ind w:left="5126" w:hanging="548"/>
      </w:pPr>
      <w:rPr>
        <w:rFonts w:hint="default"/>
        <w:lang w:val="ru-RU" w:eastAsia="en-US" w:bidi="ar-SA"/>
      </w:rPr>
    </w:lvl>
    <w:lvl w:ilvl="4" w:tplc="1F2C30B0">
      <w:numFmt w:val="bullet"/>
      <w:lvlText w:val="•"/>
      <w:lvlJc w:val="left"/>
      <w:pPr>
        <w:ind w:left="5988" w:hanging="548"/>
      </w:pPr>
      <w:rPr>
        <w:rFonts w:hint="default"/>
        <w:lang w:val="ru-RU" w:eastAsia="en-US" w:bidi="ar-SA"/>
      </w:rPr>
    </w:lvl>
    <w:lvl w:ilvl="5" w:tplc="29B433E8">
      <w:numFmt w:val="bullet"/>
      <w:lvlText w:val="•"/>
      <w:lvlJc w:val="left"/>
      <w:pPr>
        <w:ind w:left="6850" w:hanging="548"/>
      </w:pPr>
      <w:rPr>
        <w:rFonts w:hint="default"/>
        <w:lang w:val="ru-RU" w:eastAsia="en-US" w:bidi="ar-SA"/>
      </w:rPr>
    </w:lvl>
    <w:lvl w:ilvl="6" w:tplc="B05EA22E">
      <w:numFmt w:val="bullet"/>
      <w:lvlText w:val="•"/>
      <w:lvlJc w:val="left"/>
      <w:pPr>
        <w:ind w:left="7712" w:hanging="548"/>
      </w:pPr>
      <w:rPr>
        <w:rFonts w:hint="default"/>
        <w:lang w:val="ru-RU" w:eastAsia="en-US" w:bidi="ar-SA"/>
      </w:rPr>
    </w:lvl>
    <w:lvl w:ilvl="7" w:tplc="32E036F6">
      <w:numFmt w:val="bullet"/>
      <w:lvlText w:val="•"/>
      <w:lvlJc w:val="left"/>
      <w:pPr>
        <w:ind w:left="8574" w:hanging="548"/>
      </w:pPr>
      <w:rPr>
        <w:rFonts w:hint="default"/>
        <w:lang w:val="ru-RU" w:eastAsia="en-US" w:bidi="ar-SA"/>
      </w:rPr>
    </w:lvl>
    <w:lvl w:ilvl="8" w:tplc="073CCCCA">
      <w:numFmt w:val="bullet"/>
      <w:lvlText w:val="•"/>
      <w:lvlJc w:val="left"/>
      <w:pPr>
        <w:ind w:left="9436" w:hanging="548"/>
      </w:pPr>
      <w:rPr>
        <w:rFonts w:hint="default"/>
        <w:lang w:val="ru-RU" w:eastAsia="en-US" w:bidi="ar-SA"/>
      </w:rPr>
    </w:lvl>
  </w:abstractNum>
  <w:abstractNum w:abstractNumId="3" w15:restartNumberingAfterBreak="0">
    <w:nsid w:val="07FF69B0"/>
    <w:multiLevelType w:val="hybridMultilevel"/>
    <w:tmpl w:val="8776645E"/>
    <w:lvl w:ilvl="0" w:tplc="CE1A44E2">
      <w:start w:val="1"/>
      <w:numFmt w:val="bullet"/>
      <w:pStyle w:val="2"/>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915E8"/>
    <w:multiLevelType w:val="hybridMultilevel"/>
    <w:tmpl w:val="E44E4890"/>
    <w:lvl w:ilvl="0" w:tplc="CE1A44E2">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7217E"/>
    <w:multiLevelType w:val="hybridMultilevel"/>
    <w:tmpl w:val="C1B618E2"/>
    <w:lvl w:ilvl="0" w:tplc="35EAA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19"/>
    <w:rsid w:val="000036F2"/>
    <w:rsid w:val="00023ADD"/>
    <w:rsid w:val="00030A7A"/>
    <w:rsid w:val="00045724"/>
    <w:rsid w:val="00046053"/>
    <w:rsid w:val="000A6A00"/>
    <w:rsid w:val="000B2246"/>
    <w:rsid w:val="000D7433"/>
    <w:rsid w:val="000E288B"/>
    <w:rsid w:val="000F5098"/>
    <w:rsid w:val="00103FAB"/>
    <w:rsid w:val="00105FCE"/>
    <w:rsid w:val="00110C1F"/>
    <w:rsid w:val="001130BC"/>
    <w:rsid w:val="001167F9"/>
    <w:rsid w:val="001169A4"/>
    <w:rsid w:val="0012276B"/>
    <w:rsid w:val="00131D33"/>
    <w:rsid w:val="001328BE"/>
    <w:rsid w:val="00140309"/>
    <w:rsid w:val="00141D56"/>
    <w:rsid w:val="001703CE"/>
    <w:rsid w:val="00177C58"/>
    <w:rsid w:val="0018060A"/>
    <w:rsid w:val="0018123F"/>
    <w:rsid w:val="0018199C"/>
    <w:rsid w:val="00182296"/>
    <w:rsid w:val="00184BB7"/>
    <w:rsid w:val="001901BF"/>
    <w:rsid w:val="00190367"/>
    <w:rsid w:val="001A16F7"/>
    <w:rsid w:val="001A2178"/>
    <w:rsid w:val="001A33C8"/>
    <w:rsid w:val="001B1ABF"/>
    <w:rsid w:val="001E23F4"/>
    <w:rsid w:val="002004EF"/>
    <w:rsid w:val="002033BB"/>
    <w:rsid w:val="00205F1E"/>
    <w:rsid w:val="00211D66"/>
    <w:rsid w:val="00223B0C"/>
    <w:rsid w:val="002412DD"/>
    <w:rsid w:val="00247B61"/>
    <w:rsid w:val="002506A3"/>
    <w:rsid w:val="00250A2A"/>
    <w:rsid w:val="00271E62"/>
    <w:rsid w:val="00277768"/>
    <w:rsid w:val="002B250E"/>
    <w:rsid w:val="002B551E"/>
    <w:rsid w:val="002D18B7"/>
    <w:rsid w:val="002D7088"/>
    <w:rsid w:val="003169BB"/>
    <w:rsid w:val="00316FBB"/>
    <w:rsid w:val="00317B31"/>
    <w:rsid w:val="00322B6A"/>
    <w:rsid w:val="003233CB"/>
    <w:rsid w:val="0034059B"/>
    <w:rsid w:val="00341CF2"/>
    <w:rsid w:val="003535B6"/>
    <w:rsid w:val="00353A03"/>
    <w:rsid w:val="00363B8A"/>
    <w:rsid w:val="0036786A"/>
    <w:rsid w:val="00372A1B"/>
    <w:rsid w:val="00374956"/>
    <w:rsid w:val="003930CE"/>
    <w:rsid w:val="003A3098"/>
    <w:rsid w:val="003A3773"/>
    <w:rsid w:val="003B74A0"/>
    <w:rsid w:val="003D0325"/>
    <w:rsid w:val="003D4B84"/>
    <w:rsid w:val="003F500C"/>
    <w:rsid w:val="00416000"/>
    <w:rsid w:val="00420A1C"/>
    <w:rsid w:val="0043336C"/>
    <w:rsid w:val="0045554B"/>
    <w:rsid w:val="0045658A"/>
    <w:rsid w:val="004647CD"/>
    <w:rsid w:val="0047150A"/>
    <w:rsid w:val="0047224F"/>
    <w:rsid w:val="0047316E"/>
    <w:rsid w:val="00477D7D"/>
    <w:rsid w:val="00480DBB"/>
    <w:rsid w:val="00485699"/>
    <w:rsid w:val="00494CBD"/>
    <w:rsid w:val="004A0C54"/>
    <w:rsid w:val="004B5C7C"/>
    <w:rsid w:val="004B5F70"/>
    <w:rsid w:val="004B6800"/>
    <w:rsid w:val="004C3355"/>
    <w:rsid w:val="00522BFD"/>
    <w:rsid w:val="00525C8C"/>
    <w:rsid w:val="005362A3"/>
    <w:rsid w:val="005428F1"/>
    <w:rsid w:val="00572F00"/>
    <w:rsid w:val="00574A9E"/>
    <w:rsid w:val="0058637F"/>
    <w:rsid w:val="00597C19"/>
    <w:rsid w:val="00597FDC"/>
    <w:rsid w:val="005A1B04"/>
    <w:rsid w:val="005A35C0"/>
    <w:rsid w:val="005B2C02"/>
    <w:rsid w:val="006020A9"/>
    <w:rsid w:val="00604A0D"/>
    <w:rsid w:val="00605692"/>
    <w:rsid w:val="006220E1"/>
    <w:rsid w:val="00630D58"/>
    <w:rsid w:val="00662AED"/>
    <w:rsid w:val="006872AA"/>
    <w:rsid w:val="00695D2E"/>
    <w:rsid w:val="006B5BF6"/>
    <w:rsid w:val="006F3855"/>
    <w:rsid w:val="006F64E5"/>
    <w:rsid w:val="006F6D30"/>
    <w:rsid w:val="00703F9E"/>
    <w:rsid w:val="00711A41"/>
    <w:rsid w:val="00716FD1"/>
    <w:rsid w:val="0072026B"/>
    <w:rsid w:val="00770281"/>
    <w:rsid w:val="00770AE0"/>
    <w:rsid w:val="00775B9E"/>
    <w:rsid w:val="00792BC1"/>
    <w:rsid w:val="00795BF9"/>
    <w:rsid w:val="007B4E51"/>
    <w:rsid w:val="007B729E"/>
    <w:rsid w:val="007C4DF7"/>
    <w:rsid w:val="007D2A48"/>
    <w:rsid w:val="007D3AC9"/>
    <w:rsid w:val="00806A47"/>
    <w:rsid w:val="00814D3C"/>
    <w:rsid w:val="00823A05"/>
    <w:rsid w:val="008250D9"/>
    <w:rsid w:val="0083427A"/>
    <w:rsid w:val="00845F7B"/>
    <w:rsid w:val="00846AA4"/>
    <w:rsid w:val="0085634A"/>
    <w:rsid w:val="00866067"/>
    <w:rsid w:val="008727FB"/>
    <w:rsid w:val="0087798F"/>
    <w:rsid w:val="008B5CEA"/>
    <w:rsid w:val="008D04F5"/>
    <w:rsid w:val="008D7CA6"/>
    <w:rsid w:val="009030C9"/>
    <w:rsid w:val="009135C1"/>
    <w:rsid w:val="0091592C"/>
    <w:rsid w:val="00920914"/>
    <w:rsid w:val="00921E48"/>
    <w:rsid w:val="00924B3B"/>
    <w:rsid w:val="00937405"/>
    <w:rsid w:val="009524A4"/>
    <w:rsid w:val="00956A1F"/>
    <w:rsid w:val="00972873"/>
    <w:rsid w:val="00976346"/>
    <w:rsid w:val="009A6788"/>
    <w:rsid w:val="009D50AA"/>
    <w:rsid w:val="009E3D7E"/>
    <w:rsid w:val="009F0CFA"/>
    <w:rsid w:val="00A30142"/>
    <w:rsid w:val="00A330AE"/>
    <w:rsid w:val="00A54A92"/>
    <w:rsid w:val="00A54AE5"/>
    <w:rsid w:val="00A56A94"/>
    <w:rsid w:val="00A63887"/>
    <w:rsid w:val="00A657AC"/>
    <w:rsid w:val="00A73485"/>
    <w:rsid w:val="00A80C03"/>
    <w:rsid w:val="00A951E7"/>
    <w:rsid w:val="00AA42A4"/>
    <w:rsid w:val="00AC2AAB"/>
    <w:rsid w:val="00AC50EB"/>
    <w:rsid w:val="00AC6CD0"/>
    <w:rsid w:val="00AD34BB"/>
    <w:rsid w:val="00AF5374"/>
    <w:rsid w:val="00B1065D"/>
    <w:rsid w:val="00B14536"/>
    <w:rsid w:val="00B239E4"/>
    <w:rsid w:val="00B35E6F"/>
    <w:rsid w:val="00B47C4F"/>
    <w:rsid w:val="00BA0307"/>
    <w:rsid w:val="00BB1328"/>
    <w:rsid w:val="00BC30E1"/>
    <w:rsid w:val="00BF02D2"/>
    <w:rsid w:val="00C00B36"/>
    <w:rsid w:val="00C05F13"/>
    <w:rsid w:val="00C10613"/>
    <w:rsid w:val="00C15FE6"/>
    <w:rsid w:val="00C1758A"/>
    <w:rsid w:val="00C206E0"/>
    <w:rsid w:val="00C240BC"/>
    <w:rsid w:val="00C5322D"/>
    <w:rsid w:val="00C63EB5"/>
    <w:rsid w:val="00C70022"/>
    <w:rsid w:val="00C74D6E"/>
    <w:rsid w:val="00C80D6B"/>
    <w:rsid w:val="00C833E6"/>
    <w:rsid w:val="00C93F19"/>
    <w:rsid w:val="00CA5BA7"/>
    <w:rsid w:val="00CC41F4"/>
    <w:rsid w:val="00CC6798"/>
    <w:rsid w:val="00CD1C3D"/>
    <w:rsid w:val="00CD1FD9"/>
    <w:rsid w:val="00CE3C65"/>
    <w:rsid w:val="00CE5095"/>
    <w:rsid w:val="00D02907"/>
    <w:rsid w:val="00D051F3"/>
    <w:rsid w:val="00D14F22"/>
    <w:rsid w:val="00D176E1"/>
    <w:rsid w:val="00D328D6"/>
    <w:rsid w:val="00D37B83"/>
    <w:rsid w:val="00D42DEE"/>
    <w:rsid w:val="00D62E1B"/>
    <w:rsid w:val="00D743C4"/>
    <w:rsid w:val="00D827A0"/>
    <w:rsid w:val="00D841B2"/>
    <w:rsid w:val="00D87583"/>
    <w:rsid w:val="00D93941"/>
    <w:rsid w:val="00D940BE"/>
    <w:rsid w:val="00D9546C"/>
    <w:rsid w:val="00DA7822"/>
    <w:rsid w:val="00DB609A"/>
    <w:rsid w:val="00DC6671"/>
    <w:rsid w:val="00DC6734"/>
    <w:rsid w:val="00DC6D3F"/>
    <w:rsid w:val="00DD3B5F"/>
    <w:rsid w:val="00DF0A25"/>
    <w:rsid w:val="00E24280"/>
    <w:rsid w:val="00E31650"/>
    <w:rsid w:val="00E342C6"/>
    <w:rsid w:val="00E46587"/>
    <w:rsid w:val="00E47277"/>
    <w:rsid w:val="00E71939"/>
    <w:rsid w:val="00E82611"/>
    <w:rsid w:val="00E851D4"/>
    <w:rsid w:val="00EA4CF0"/>
    <w:rsid w:val="00EB6AC8"/>
    <w:rsid w:val="00EC603B"/>
    <w:rsid w:val="00ED3375"/>
    <w:rsid w:val="00ED7927"/>
    <w:rsid w:val="00EE6200"/>
    <w:rsid w:val="00EF0601"/>
    <w:rsid w:val="00EF7567"/>
    <w:rsid w:val="00F00E12"/>
    <w:rsid w:val="00F122F6"/>
    <w:rsid w:val="00F163EA"/>
    <w:rsid w:val="00F339D6"/>
    <w:rsid w:val="00F36481"/>
    <w:rsid w:val="00F62383"/>
    <w:rsid w:val="00F96E17"/>
    <w:rsid w:val="00FC72ED"/>
    <w:rsid w:val="00FC7AB6"/>
    <w:rsid w:val="00FD02CE"/>
    <w:rsid w:val="00FD756A"/>
    <w:rsid w:val="00FF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6623"/>
  <w15:docId w15:val="{DFF47A33-456B-4E81-B25F-763692F5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1B1AB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0"/>
    <w:link w:val="a5"/>
    <w:uiPriority w:val="99"/>
    <w:unhideWhenUsed/>
    <w:rsid w:val="00695D2E"/>
    <w:pPr>
      <w:spacing w:after="0" w:line="240" w:lineRule="auto"/>
    </w:pPr>
    <w:rPr>
      <w:sz w:val="20"/>
      <w:szCs w:val="20"/>
    </w:rPr>
  </w:style>
  <w:style w:type="character" w:customStyle="1" w:styleId="a5">
    <w:name w:val="Текст сноски Знак"/>
    <w:basedOn w:val="a1"/>
    <w:link w:val="a4"/>
    <w:uiPriority w:val="99"/>
    <w:rsid w:val="00695D2E"/>
    <w:rPr>
      <w:sz w:val="20"/>
      <w:szCs w:val="20"/>
    </w:rPr>
  </w:style>
  <w:style w:type="character" w:styleId="a6">
    <w:name w:val="footnote reference"/>
    <w:basedOn w:val="a1"/>
    <w:uiPriority w:val="99"/>
    <w:semiHidden/>
    <w:unhideWhenUsed/>
    <w:rsid w:val="00695D2E"/>
    <w:rPr>
      <w:vertAlign w:val="superscript"/>
    </w:rPr>
  </w:style>
  <w:style w:type="paragraph" w:customStyle="1" w:styleId="a7">
    <w:name w:val="ашки"/>
    <w:basedOn w:val="a0"/>
    <w:uiPriority w:val="1"/>
    <w:qFormat/>
    <w:rsid w:val="00B14536"/>
    <w:pPr>
      <w:spacing w:before="120" w:after="0" w:line="280" w:lineRule="exact"/>
      <w:ind w:left="547" w:hanging="547"/>
      <w:jc w:val="both"/>
    </w:pPr>
    <w:rPr>
      <w:rFonts w:ascii="Times New Roman" w:eastAsia="Times New Roman" w:hAnsi="Times New Roman" w:cs="Times New Roman"/>
      <w:kern w:val="20"/>
      <w:sz w:val="20"/>
      <w:szCs w:val="20"/>
      <w:lang w:val="ru-RU"/>
    </w:rPr>
  </w:style>
  <w:style w:type="paragraph" w:customStyle="1" w:styleId="IFACNumberAndLetter">
    <w:name w:val="IFAC NumberAndLetter"/>
    <w:next w:val="a8"/>
    <w:uiPriority w:val="5"/>
    <w:qFormat/>
    <w:rsid w:val="00B14536"/>
    <w:pPr>
      <w:tabs>
        <w:tab w:val="left" w:pos="547"/>
      </w:tabs>
      <w:spacing w:before="120" w:after="0" w:line="280" w:lineRule="exact"/>
    </w:pPr>
    <w:rPr>
      <w:rFonts w:ascii="Arial" w:eastAsia="Times New Roman" w:hAnsi="Arial" w:cs="Times New Roman"/>
      <w:kern w:val="20"/>
      <w:sz w:val="20"/>
      <w:szCs w:val="20"/>
    </w:rPr>
  </w:style>
  <w:style w:type="paragraph" w:styleId="a8">
    <w:name w:val="Body Text"/>
    <w:basedOn w:val="a0"/>
    <w:link w:val="a9"/>
    <w:uiPriority w:val="99"/>
    <w:semiHidden/>
    <w:unhideWhenUsed/>
    <w:rsid w:val="00B14536"/>
    <w:pPr>
      <w:spacing w:after="120"/>
    </w:pPr>
  </w:style>
  <w:style w:type="character" w:customStyle="1" w:styleId="a9">
    <w:name w:val="Основной текст Знак"/>
    <w:basedOn w:val="a1"/>
    <w:link w:val="a8"/>
    <w:uiPriority w:val="99"/>
    <w:semiHidden/>
    <w:rsid w:val="00B14536"/>
  </w:style>
  <w:style w:type="paragraph" w:customStyle="1" w:styleId="a">
    <w:name w:val="текст основной"/>
    <w:basedOn w:val="a0"/>
    <w:link w:val="aa"/>
    <w:uiPriority w:val="1"/>
    <w:qFormat/>
    <w:rsid w:val="0091592C"/>
    <w:pPr>
      <w:numPr>
        <w:numId w:val="2"/>
      </w:numPr>
      <w:tabs>
        <w:tab w:val="left" w:pos="547"/>
      </w:tabs>
      <w:spacing w:before="120" w:after="0" w:line="280" w:lineRule="exact"/>
    </w:pPr>
    <w:rPr>
      <w:rFonts w:ascii="Times New Roman" w:eastAsia="Times New Roman" w:hAnsi="Times New Roman" w:cs="Times New Roman"/>
      <w:kern w:val="8"/>
      <w:sz w:val="20"/>
      <w:szCs w:val="24"/>
      <w:lang w:val="ru-RU" w:bidi="he-IL"/>
    </w:rPr>
  </w:style>
  <w:style w:type="character" w:customStyle="1" w:styleId="aa">
    <w:name w:val="текст основной Знак"/>
    <w:basedOn w:val="a1"/>
    <w:link w:val="a"/>
    <w:uiPriority w:val="1"/>
    <w:rsid w:val="0091592C"/>
    <w:rPr>
      <w:rFonts w:ascii="Times New Roman" w:eastAsia="Times New Roman" w:hAnsi="Times New Roman" w:cs="Times New Roman"/>
      <w:kern w:val="8"/>
      <w:sz w:val="20"/>
      <w:szCs w:val="24"/>
      <w:lang w:val="ru-RU" w:bidi="he-IL"/>
    </w:rPr>
  </w:style>
  <w:style w:type="paragraph" w:styleId="2">
    <w:name w:val="List Bullet 2"/>
    <w:basedOn w:val="a0"/>
    <w:uiPriority w:val="99"/>
    <w:unhideWhenUsed/>
    <w:rsid w:val="00023ADD"/>
    <w:pPr>
      <w:numPr>
        <w:numId w:val="5"/>
      </w:numPr>
      <w:contextualSpacing/>
    </w:pPr>
  </w:style>
  <w:style w:type="paragraph" w:styleId="ab">
    <w:name w:val="List Paragraph"/>
    <w:basedOn w:val="a0"/>
    <w:uiPriority w:val="34"/>
    <w:qFormat/>
    <w:rsid w:val="00A951E7"/>
    <w:pPr>
      <w:ind w:left="720"/>
      <w:contextualSpacing/>
    </w:pPr>
  </w:style>
  <w:style w:type="character" w:styleId="ac">
    <w:name w:val="annotation reference"/>
    <w:basedOn w:val="a1"/>
    <w:uiPriority w:val="99"/>
    <w:semiHidden/>
    <w:unhideWhenUsed/>
    <w:rsid w:val="00716FD1"/>
    <w:rPr>
      <w:sz w:val="16"/>
      <w:szCs w:val="16"/>
    </w:rPr>
  </w:style>
  <w:style w:type="paragraph" w:styleId="ad">
    <w:name w:val="annotation text"/>
    <w:basedOn w:val="a0"/>
    <w:link w:val="ae"/>
    <w:uiPriority w:val="99"/>
    <w:unhideWhenUsed/>
    <w:rsid w:val="00716FD1"/>
    <w:pPr>
      <w:spacing w:line="240" w:lineRule="auto"/>
    </w:pPr>
    <w:rPr>
      <w:sz w:val="20"/>
      <w:szCs w:val="20"/>
    </w:rPr>
  </w:style>
  <w:style w:type="character" w:customStyle="1" w:styleId="ae">
    <w:name w:val="Текст примечания Знак"/>
    <w:basedOn w:val="a1"/>
    <w:link w:val="ad"/>
    <w:uiPriority w:val="99"/>
    <w:rsid w:val="00716FD1"/>
    <w:rPr>
      <w:sz w:val="20"/>
      <w:szCs w:val="20"/>
    </w:rPr>
  </w:style>
  <w:style w:type="paragraph" w:styleId="af">
    <w:name w:val="annotation subject"/>
    <w:basedOn w:val="ad"/>
    <w:next w:val="ad"/>
    <w:link w:val="af0"/>
    <w:uiPriority w:val="99"/>
    <w:semiHidden/>
    <w:unhideWhenUsed/>
    <w:rsid w:val="00716FD1"/>
    <w:rPr>
      <w:b/>
      <w:bCs/>
    </w:rPr>
  </w:style>
  <w:style w:type="character" w:customStyle="1" w:styleId="af0">
    <w:name w:val="Тема примечания Знак"/>
    <w:basedOn w:val="ae"/>
    <w:link w:val="af"/>
    <w:uiPriority w:val="99"/>
    <w:semiHidden/>
    <w:rsid w:val="00716FD1"/>
    <w:rPr>
      <w:b/>
      <w:bCs/>
      <w:sz w:val="20"/>
      <w:szCs w:val="20"/>
    </w:rPr>
  </w:style>
  <w:style w:type="paragraph" w:styleId="af1">
    <w:name w:val="Balloon Text"/>
    <w:basedOn w:val="a0"/>
    <w:link w:val="af2"/>
    <w:uiPriority w:val="99"/>
    <w:semiHidden/>
    <w:unhideWhenUsed/>
    <w:rsid w:val="00716FD1"/>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716FD1"/>
    <w:rPr>
      <w:rFonts w:ascii="Segoe UI" w:hAnsi="Segoe UI" w:cs="Segoe UI"/>
      <w:sz w:val="18"/>
      <w:szCs w:val="18"/>
    </w:rPr>
  </w:style>
  <w:style w:type="paragraph" w:styleId="af3">
    <w:name w:val="Normal (Web)"/>
    <w:basedOn w:val="a0"/>
    <w:uiPriority w:val="99"/>
    <w:semiHidden/>
    <w:unhideWhenUsed/>
    <w:rsid w:val="009030C9"/>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E47277"/>
    <w:pPr>
      <w:suppressAutoHyphens/>
      <w:autoSpaceDN w:val="0"/>
      <w:spacing w:after="0" w:line="240" w:lineRule="auto"/>
      <w:textAlignment w:val="baseline"/>
    </w:pPr>
    <w:rPr>
      <w:rFonts w:ascii="Times New Roman" w:eastAsia="Times New Roman" w:hAnsi="Times New Roman" w:cs="Times New Roman"/>
      <w:kern w:val="3"/>
      <w:sz w:val="28"/>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11414">
      <w:bodyDiv w:val="1"/>
      <w:marLeft w:val="0"/>
      <w:marRight w:val="0"/>
      <w:marTop w:val="0"/>
      <w:marBottom w:val="0"/>
      <w:divBdr>
        <w:top w:val="none" w:sz="0" w:space="0" w:color="auto"/>
        <w:left w:val="none" w:sz="0" w:space="0" w:color="auto"/>
        <w:bottom w:val="none" w:sz="0" w:space="0" w:color="auto"/>
        <w:right w:val="none" w:sz="0" w:space="0" w:color="auto"/>
      </w:divBdr>
    </w:div>
    <w:div w:id="558056344">
      <w:bodyDiv w:val="1"/>
      <w:marLeft w:val="0"/>
      <w:marRight w:val="0"/>
      <w:marTop w:val="0"/>
      <w:marBottom w:val="0"/>
      <w:divBdr>
        <w:top w:val="none" w:sz="0" w:space="0" w:color="auto"/>
        <w:left w:val="none" w:sz="0" w:space="0" w:color="auto"/>
        <w:bottom w:val="none" w:sz="0" w:space="0" w:color="auto"/>
        <w:right w:val="none" w:sz="0" w:space="0" w:color="auto"/>
      </w:divBdr>
    </w:div>
    <w:div w:id="10814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B1A22-CB1A-4A63-87A2-538BAC3A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7237</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RUBY</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Nadezhdina, Maya</dc:creator>
  <cp:lastModifiedBy>Евгений А. Потапов</cp:lastModifiedBy>
  <cp:revision>3</cp:revision>
  <dcterms:created xsi:type="dcterms:W3CDTF">2024-06-27T09:41:00Z</dcterms:created>
  <dcterms:modified xsi:type="dcterms:W3CDTF">2024-06-27T09:41:00Z</dcterms:modified>
</cp:coreProperties>
</file>