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516C" w14:textId="38EA217E" w:rsidR="008612E0" w:rsidRPr="00471AB4" w:rsidRDefault="008612E0" w:rsidP="008612E0">
      <w:pPr>
        <w:shd w:val="clear" w:color="auto" w:fill="FFFFFF"/>
        <w:ind w:left="5840"/>
        <w:jc w:val="center"/>
        <w:rPr>
          <w:color w:val="2C2D2E"/>
        </w:rPr>
      </w:pPr>
      <w:bookmarkStart w:id="0" w:name="_Hlk107229602"/>
      <w:r w:rsidRPr="00471AB4">
        <w:rPr>
          <w:shd w:val="clear" w:color="auto" w:fill="EBEDF0"/>
        </w:rPr>
        <w:t>Утверждено</w:t>
      </w:r>
      <w:r w:rsidRPr="00471AB4">
        <w:br/>
      </w:r>
      <w:r w:rsidRPr="00471AB4">
        <w:rPr>
          <w:shd w:val="clear" w:color="auto" w:fill="EBEDF0"/>
        </w:rPr>
        <w:t>и рекомендовано к применению аудиторами Комитетом СРО ААС по противодействию коррупции легализации (отмыванию) доходов,</w:t>
      </w:r>
      <w:r w:rsidRPr="00471AB4">
        <w:br/>
      </w:r>
      <w:r w:rsidRPr="00471AB4">
        <w:rPr>
          <w:shd w:val="clear" w:color="auto" w:fill="EBEDF0"/>
        </w:rPr>
        <w:t>полученных преступным путем, и</w:t>
      </w:r>
      <w:r w:rsidRPr="00471AB4">
        <w:br/>
      </w:r>
      <w:r w:rsidRPr="00471AB4">
        <w:rPr>
          <w:shd w:val="clear" w:color="auto" w:fill="EBEDF0"/>
        </w:rPr>
        <w:t>финансированию терроризма</w:t>
      </w:r>
      <w:r w:rsidRPr="00471AB4">
        <w:br/>
      </w:r>
      <w:r w:rsidRPr="00471AB4">
        <w:rPr>
          <w:shd w:val="clear" w:color="auto" w:fill="EBEDF0"/>
        </w:rPr>
        <w:t xml:space="preserve">Протокол от </w:t>
      </w:r>
      <w:r w:rsidR="00D025FC" w:rsidRPr="00471AB4">
        <w:rPr>
          <w:shd w:val="clear" w:color="auto" w:fill="EBEDF0"/>
        </w:rPr>
        <w:t>20</w:t>
      </w:r>
      <w:r w:rsidRPr="00471AB4">
        <w:rPr>
          <w:shd w:val="clear" w:color="auto" w:fill="EBEDF0"/>
        </w:rPr>
        <w:t>.06.2024 г. N 12</w:t>
      </w:r>
      <w:r w:rsidR="00D025FC" w:rsidRPr="00471AB4">
        <w:rPr>
          <w:shd w:val="clear" w:color="auto" w:fill="EBEDF0"/>
        </w:rPr>
        <w:t>1</w:t>
      </w:r>
      <w:r w:rsidRPr="00471AB4">
        <w:rPr>
          <w:shd w:val="clear" w:color="auto" w:fill="EBEDF0"/>
        </w:rPr>
        <w:t xml:space="preserve">  </w:t>
      </w:r>
    </w:p>
    <w:p w14:paraId="1DA75583" w14:textId="77777777" w:rsidR="00471AB4" w:rsidRDefault="00471AB4" w:rsidP="002C62C4">
      <w:pPr>
        <w:ind w:firstLine="709"/>
        <w:contextualSpacing/>
        <w:jc w:val="center"/>
        <w:rPr>
          <w:b/>
        </w:rPr>
      </w:pPr>
    </w:p>
    <w:p w14:paraId="03632FC0" w14:textId="77777777" w:rsidR="00471AB4" w:rsidRDefault="00471AB4" w:rsidP="002C62C4">
      <w:pPr>
        <w:ind w:firstLine="709"/>
        <w:contextualSpacing/>
        <w:jc w:val="center"/>
        <w:rPr>
          <w:b/>
        </w:rPr>
      </w:pPr>
    </w:p>
    <w:p w14:paraId="490EAD03" w14:textId="37884F9E" w:rsidR="001A1BB4" w:rsidRPr="00471AB4" w:rsidRDefault="001A1BB4" w:rsidP="002C62C4">
      <w:pPr>
        <w:ind w:firstLine="709"/>
        <w:contextualSpacing/>
        <w:jc w:val="center"/>
        <w:rPr>
          <w:b/>
        </w:rPr>
      </w:pPr>
      <w:r w:rsidRPr="00471AB4">
        <w:rPr>
          <w:b/>
        </w:rPr>
        <w:t>РАЗЪЯСНЕНИЯ</w:t>
      </w:r>
    </w:p>
    <w:p w14:paraId="53101A64" w14:textId="57198577" w:rsidR="001A1BB4" w:rsidRPr="00471AB4" w:rsidRDefault="001A1BB4" w:rsidP="002C62C4">
      <w:pPr>
        <w:ind w:firstLine="709"/>
        <w:contextualSpacing/>
        <w:jc w:val="center"/>
        <w:rPr>
          <w:b/>
        </w:rPr>
      </w:pPr>
      <w:r w:rsidRPr="00471AB4">
        <w:rPr>
          <w:b/>
        </w:rPr>
        <w:t xml:space="preserve">ПО ВОПРОСАМ ПРОТИВОДЕЙСТВИЯ ЛЕГАЛИЗАЦИИ (ОТМЫВАНИЮ) ДОХОДОВ, ПОЛУЧЕННЫХ ПРЕСТУПНЫМ ПУТЕМ И ФИНАНСИРОВАНИЮ ТЕРРОРИЗМА ПРИ ОКАЗАНИИ АУДИТОРСКИХ УСЛУГ </w:t>
      </w:r>
      <w:r w:rsidR="00883180" w:rsidRPr="00471AB4">
        <w:rPr>
          <w:b/>
        </w:rPr>
        <w:t>СТРАХОВЫМ</w:t>
      </w:r>
      <w:r w:rsidR="00DC5490" w:rsidRPr="00471AB4">
        <w:rPr>
          <w:b/>
        </w:rPr>
        <w:t xml:space="preserve"> ОРГАНИЗАЦИЯМ</w:t>
      </w:r>
    </w:p>
    <w:p w14:paraId="620DCB3A" w14:textId="77777777" w:rsidR="00DC0FAD" w:rsidRPr="00471AB4" w:rsidRDefault="00DC0FAD" w:rsidP="002C62C4">
      <w:pPr>
        <w:ind w:firstLine="709"/>
        <w:contextualSpacing/>
        <w:jc w:val="both"/>
        <w:rPr>
          <w:b/>
        </w:rPr>
      </w:pPr>
    </w:p>
    <w:p w14:paraId="2BD1410D" w14:textId="77777777" w:rsidR="001A1BB4" w:rsidRPr="00471AB4" w:rsidRDefault="001A1BB4" w:rsidP="002C62C4">
      <w:pPr>
        <w:ind w:firstLine="709"/>
        <w:contextualSpacing/>
        <w:jc w:val="both"/>
        <w:rPr>
          <w:b/>
        </w:rPr>
      </w:pPr>
    </w:p>
    <w:p w14:paraId="15B95795" w14:textId="1D089080" w:rsidR="001A1BB4" w:rsidRPr="00471AB4" w:rsidRDefault="000A1C85" w:rsidP="002C62C4">
      <w:pPr>
        <w:pStyle w:val="a3"/>
        <w:numPr>
          <w:ilvl w:val="0"/>
          <w:numId w:val="9"/>
        </w:numPr>
        <w:ind w:left="0" w:firstLine="11"/>
        <w:jc w:val="both"/>
        <w:rPr>
          <w:b/>
        </w:rPr>
      </w:pPr>
      <w:r w:rsidRPr="00471AB4">
        <w:rPr>
          <w:b/>
        </w:rPr>
        <w:t>Сфера применения</w:t>
      </w:r>
    </w:p>
    <w:p w14:paraId="0261AA07" w14:textId="77777777" w:rsidR="000A1C85" w:rsidRPr="00471AB4" w:rsidRDefault="000A1C85" w:rsidP="002C62C4">
      <w:pPr>
        <w:pStyle w:val="a3"/>
        <w:ind w:left="0" w:firstLine="11"/>
        <w:jc w:val="both"/>
        <w:rPr>
          <w:b/>
        </w:rPr>
      </w:pPr>
    </w:p>
    <w:p w14:paraId="47699AC0" w14:textId="77777777" w:rsidR="000A1C85" w:rsidRPr="00471AB4" w:rsidRDefault="000A1C85" w:rsidP="002C62C4">
      <w:pPr>
        <w:autoSpaceDE w:val="0"/>
        <w:autoSpaceDN w:val="0"/>
        <w:adjustRightInd w:val="0"/>
        <w:ind w:firstLine="720"/>
        <w:jc w:val="both"/>
      </w:pPr>
      <w:r w:rsidRPr="00471AB4">
        <w:t>Данные разъяснения направлены на вопросы требований Международных Стандартов Аудита (МСА) по рассмотрению соблюдения законодательства о противодействии ОД/ФТ/ФРОМУ. На уровне стандартов аудиторской деятельности рассмотрение соблюдения законодательства по ПОД/ФТ/ФРОМУ регламентируется, главным образом, МСА 240 «Обязанности аудитора в отношении недобросовестных действий при проведении аудита финансовой отчетности» и МСА 250 (пересмотренным) «Рассмотрение законов и нормативных актов в ходе аудита финансовой отчетности».</w:t>
      </w:r>
    </w:p>
    <w:p w14:paraId="16FF0DF1" w14:textId="501A9E00" w:rsidR="00FB231C" w:rsidRPr="00471AB4" w:rsidRDefault="00FB231C" w:rsidP="002C62C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71AB4">
        <w:rPr>
          <w:rFonts w:eastAsiaTheme="minorHAnsi"/>
          <w:lang w:eastAsia="en-US"/>
        </w:rPr>
        <w:t xml:space="preserve">Исходя из </w:t>
      </w:r>
      <w:r w:rsidRPr="00471AB4">
        <w:t>Федеральног</w:t>
      </w:r>
      <w:r w:rsidR="00AB603B" w:rsidRPr="00471AB4">
        <w:t xml:space="preserve">о закона от 07 августа </w:t>
      </w:r>
      <w:r w:rsidRPr="00471AB4">
        <w:t>2001</w:t>
      </w:r>
      <w:r w:rsidR="00AB603B" w:rsidRPr="00471AB4">
        <w:t xml:space="preserve"> г.</w:t>
      </w:r>
      <w:r w:rsidRPr="00471AB4">
        <w:t xml:space="preserve"> № 115-ФЗ «О противодействии легализации (отмыванию) доходов, полученных преступным путем, и финансированию терроризма»</w:t>
      </w:r>
      <w:r w:rsidR="000B0AC8" w:rsidRPr="00471AB4">
        <w:t xml:space="preserve"> (далее – Закон 115-ФЗ)</w:t>
      </w:r>
      <w:r w:rsidRPr="00471AB4">
        <w:rPr>
          <w:rFonts w:eastAsiaTheme="minorHAnsi"/>
          <w:lang w:eastAsia="en-US"/>
        </w:rPr>
        <w:t xml:space="preserve">, при оказании аудиторских услуг аудиторские организации, индивидуальные аудиторы обязаны уведомлять Росфинмониторинг о любых основаниях полагать, что сделки или финансовые операции аудируемого лица осуществляются или могут быть осуществлены в целях </w:t>
      </w:r>
      <w:r w:rsidR="00DC0FAD" w:rsidRPr="00471AB4">
        <w:rPr>
          <w:rFonts w:eastAsiaTheme="minorHAnsi"/>
          <w:lang w:eastAsia="en-US"/>
        </w:rPr>
        <w:t>П</w:t>
      </w:r>
      <w:r w:rsidRPr="00471AB4">
        <w:rPr>
          <w:rFonts w:eastAsiaTheme="minorHAnsi"/>
          <w:lang w:eastAsia="en-US"/>
        </w:rPr>
        <w:t xml:space="preserve">ОД/ФТ. </w:t>
      </w:r>
    </w:p>
    <w:p w14:paraId="17AB3851" w14:textId="047EEF11" w:rsidR="00CE58B0" w:rsidRPr="00471AB4" w:rsidRDefault="00CE58B0" w:rsidP="002C62C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71AB4">
        <w:rPr>
          <w:rFonts w:eastAsiaTheme="minorHAnsi"/>
          <w:lang w:eastAsia="en-US"/>
        </w:rPr>
        <w:t xml:space="preserve">Кроме того, МСА 250 «Рассмотрение законов и иных нормативных актов в ходе </w:t>
      </w:r>
      <w:r w:rsidR="004115A2" w:rsidRPr="00471AB4">
        <w:rPr>
          <w:rFonts w:eastAsiaTheme="minorHAnsi"/>
          <w:lang w:eastAsia="en-US"/>
        </w:rPr>
        <w:t>аудита» и</w:t>
      </w:r>
      <w:r w:rsidRPr="00471AB4">
        <w:rPr>
          <w:rFonts w:eastAsiaTheme="minorHAnsi"/>
          <w:lang w:eastAsia="en-US"/>
        </w:rPr>
        <w:t xml:space="preserve"> МСА 315 «Выявление и оценка рисков существенного искажения посредством изучения организации и ее окружения» требуют проводить тестирование </w:t>
      </w:r>
      <w:r w:rsidR="00450BE9" w:rsidRPr="00471AB4">
        <w:rPr>
          <w:rFonts w:eastAsiaTheme="minorHAnsi"/>
          <w:lang w:eastAsia="en-US"/>
        </w:rPr>
        <w:t>системы внутреннего контроля</w:t>
      </w:r>
      <w:r w:rsidR="00DC0FAD" w:rsidRPr="00471AB4">
        <w:rPr>
          <w:rFonts w:eastAsiaTheme="minorHAnsi"/>
          <w:lang w:eastAsia="en-US"/>
        </w:rPr>
        <w:t xml:space="preserve">, созданной клиентом аудитора </w:t>
      </w:r>
      <w:r w:rsidR="00007941" w:rsidRPr="00471AB4">
        <w:rPr>
          <w:rFonts w:eastAsiaTheme="minorHAnsi"/>
          <w:lang w:eastAsia="en-US"/>
        </w:rPr>
        <w:t>–</w:t>
      </w:r>
      <w:r w:rsidR="00DC0FAD" w:rsidRPr="00471AB4">
        <w:rPr>
          <w:rFonts w:eastAsiaTheme="minorHAnsi"/>
          <w:lang w:eastAsia="en-US"/>
        </w:rPr>
        <w:t xml:space="preserve"> </w:t>
      </w:r>
      <w:r w:rsidR="00A95BC8" w:rsidRPr="00471AB4">
        <w:rPr>
          <w:rFonts w:eastAsiaTheme="minorHAnsi"/>
          <w:lang w:eastAsia="en-US"/>
        </w:rPr>
        <w:t>страховой</w:t>
      </w:r>
      <w:r w:rsidR="00007941" w:rsidRPr="00471AB4">
        <w:rPr>
          <w:rFonts w:eastAsiaTheme="minorHAnsi"/>
          <w:lang w:eastAsia="en-US"/>
        </w:rPr>
        <w:t xml:space="preserve"> организацией</w:t>
      </w:r>
      <w:r w:rsidR="00450BE9" w:rsidRPr="00471AB4">
        <w:rPr>
          <w:rFonts w:eastAsiaTheme="minorHAnsi"/>
          <w:lang w:eastAsia="en-US"/>
        </w:rPr>
        <w:t xml:space="preserve">, являющейся самостоятельным субъектом </w:t>
      </w:r>
      <w:r w:rsidR="0055783B" w:rsidRPr="00471AB4">
        <w:rPr>
          <w:rFonts w:eastAsiaTheme="minorHAnsi"/>
          <w:lang w:eastAsia="en-US"/>
        </w:rPr>
        <w:t>финансового мониторинга</w:t>
      </w:r>
      <w:r w:rsidR="00450BE9" w:rsidRPr="00471AB4">
        <w:rPr>
          <w:rFonts w:eastAsiaTheme="minorHAnsi"/>
          <w:lang w:eastAsia="en-US"/>
        </w:rPr>
        <w:t>.</w:t>
      </w:r>
    </w:p>
    <w:p w14:paraId="4AD7A720" w14:textId="5CB2BD92" w:rsidR="00FB231C" w:rsidRPr="00471AB4" w:rsidRDefault="00FB231C" w:rsidP="002C62C4">
      <w:pPr>
        <w:autoSpaceDE w:val="0"/>
        <w:autoSpaceDN w:val="0"/>
        <w:adjustRightInd w:val="0"/>
        <w:ind w:firstLine="720"/>
        <w:jc w:val="both"/>
      </w:pPr>
      <w:r w:rsidRPr="00471AB4">
        <w:t>Обязанность ув</w:t>
      </w:r>
      <w:r w:rsidR="0055783B" w:rsidRPr="00471AB4">
        <w:t xml:space="preserve">едомлять Росфинмониторинг </w:t>
      </w:r>
      <w:r w:rsidRPr="00471AB4">
        <w:t xml:space="preserve">распространяется на аудиторские организации и индивидуальных аудиторов </w:t>
      </w:r>
      <w:r w:rsidR="0055783B" w:rsidRPr="00471AB4">
        <w:t xml:space="preserve">также </w:t>
      </w:r>
      <w:r w:rsidRPr="00471AB4">
        <w:t>в случаях, когда при оказании прочих связанных с аудиторской деятельностью услуг они готовят или осуществляют от имени или по поручению своего клиента следующие операции с денежными средствами или иным имуществом:</w:t>
      </w:r>
    </w:p>
    <w:p w14:paraId="4E335628" w14:textId="77777777" w:rsidR="00FB231C" w:rsidRPr="00471AB4" w:rsidRDefault="00FB231C" w:rsidP="002C62C4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71AB4">
        <w:t>-</w:t>
      </w:r>
      <w:r w:rsidRPr="00471AB4">
        <w:rPr>
          <w:rFonts w:eastAsiaTheme="minorHAnsi"/>
          <w:lang w:eastAsia="en-US"/>
        </w:rPr>
        <w:t xml:space="preserve"> сделки с недвижимым имуществом; </w:t>
      </w:r>
    </w:p>
    <w:p w14:paraId="227D2D13" w14:textId="77777777" w:rsidR="00FB231C" w:rsidRPr="00471AB4" w:rsidRDefault="00FB231C" w:rsidP="002C62C4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71AB4">
        <w:rPr>
          <w:rFonts w:eastAsiaTheme="minorHAnsi"/>
          <w:lang w:eastAsia="en-US"/>
        </w:rPr>
        <w:t xml:space="preserve">- управление денежными средствами, ценными бумагами или иным имуществом клиента; </w:t>
      </w:r>
    </w:p>
    <w:p w14:paraId="37370500" w14:textId="77777777" w:rsidR="00FB231C" w:rsidRPr="00471AB4" w:rsidRDefault="00FB231C" w:rsidP="002C62C4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71AB4">
        <w:rPr>
          <w:rFonts w:eastAsiaTheme="minorHAnsi"/>
          <w:lang w:eastAsia="en-US"/>
        </w:rPr>
        <w:t xml:space="preserve">- управление банковскими счетами или счетами ценных бумаг; </w:t>
      </w:r>
    </w:p>
    <w:p w14:paraId="54C79555" w14:textId="77777777" w:rsidR="00FB231C" w:rsidRPr="00471AB4" w:rsidRDefault="00FB231C" w:rsidP="002C62C4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71AB4">
        <w:rPr>
          <w:rFonts w:eastAsiaTheme="minorHAnsi"/>
          <w:lang w:eastAsia="en-US"/>
        </w:rPr>
        <w:t xml:space="preserve">- привлечение денежных средств для создания организаций, обеспечения их деятельности или управления ими; </w:t>
      </w:r>
    </w:p>
    <w:p w14:paraId="07B8D0E6" w14:textId="24F722DB" w:rsidR="00FB231C" w:rsidRPr="00471AB4" w:rsidRDefault="00FB231C" w:rsidP="002C62C4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71AB4">
        <w:rPr>
          <w:rFonts w:eastAsiaTheme="minorHAnsi"/>
          <w:lang w:eastAsia="en-US"/>
        </w:rPr>
        <w:t>- создание организаций, обеспечение их деятельности или управления ими, а также куплю-продажу организаций.</w:t>
      </w:r>
    </w:p>
    <w:p w14:paraId="3800EFF8" w14:textId="77777777" w:rsidR="00DC0FAD" w:rsidRPr="00471AB4" w:rsidRDefault="00DC0FAD" w:rsidP="002C62C4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</w:p>
    <w:p w14:paraId="2D21D653" w14:textId="1014B16A" w:rsidR="00FB231C" w:rsidRPr="00471AB4" w:rsidRDefault="00795D81" w:rsidP="002C62C4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11"/>
        <w:jc w:val="both"/>
      </w:pPr>
      <w:r w:rsidRPr="00471AB4">
        <w:rPr>
          <w:b/>
        </w:rPr>
        <w:t>О</w:t>
      </w:r>
      <w:r w:rsidR="00FB231C" w:rsidRPr="00471AB4">
        <w:rPr>
          <w:b/>
        </w:rPr>
        <w:t>рганизация контроля в сфере ПОД/ФТ/ФРОМУ</w:t>
      </w:r>
      <w:r w:rsidRPr="00471AB4">
        <w:rPr>
          <w:b/>
        </w:rPr>
        <w:t xml:space="preserve"> в страховых организациях</w:t>
      </w:r>
    </w:p>
    <w:p w14:paraId="0627FFE7" w14:textId="77777777" w:rsidR="00FB231C" w:rsidRPr="00471AB4" w:rsidRDefault="00FB231C" w:rsidP="002C62C4">
      <w:pPr>
        <w:autoSpaceDE w:val="0"/>
        <w:autoSpaceDN w:val="0"/>
        <w:adjustRightInd w:val="0"/>
        <w:ind w:firstLine="11"/>
        <w:jc w:val="both"/>
      </w:pPr>
    </w:p>
    <w:p w14:paraId="16C4EB9E" w14:textId="6EE48E5D" w:rsidR="001106FE" w:rsidRPr="00471AB4" w:rsidRDefault="001106FE" w:rsidP="002C62C4">
      <w:pPr>
        <w:autoSpaceDE w:val="0"/>
        <w:autoSpaceDN w:val="0"/>
        <w:adjustRightInd w:val="0"/>
        <w:ind w:firstLine="540"/>
        <w:jc w:val="both"/>
      </w:pPr>
      <w:r w:rsidRPr="00471AB4">
        <w:t xml:space="preserve">В </w:t>
      </w:r>
      <w:r w:rsidR="00814025" w:rsidRPr="00471AB4">
        <w:t>соответствии</w:t>
      </w:r>
      <w:r w:rsidRPr="00471AB4">
        <w:t xml:space="preserve"> со ст.6 Закона Российской Федерации от 27 ноября 1992 года N 4015-1 "Об организации страхового дела в Российской Федерации" (далее – Закон 4015-1) к страховщикам относятся страховые организации, иностранные страховые организации, общества взаимного страхования.</w:t>
      </w:r>
    </w:p>
    <w:p w14:paraId="73F82C79" w14:textId="748F872E" w:rsidR="001106FE" w:rsidRPr="00471AB4" w:rsidRDefault="001106FE" w:rsidP="002C62C4">
      <w:pPr>
        <w:autoSpaceDE w:val="0"/>
        <w:autoSpaceDN w:val="0"/>
        <w:adjustRightInd w:val="0"/>
        <w:ind w:firstLine="540"/>
        <w:jc w:val="both"/>
      </w:pPr>
      <w:r w:rsidRPr="00471AB4">
        <w:t xml:space="preserve"> Страховая организация - юридическое лицо, созданное в соответствии с законодательством Российской Федерации для осуществления деятельности по страхованию и (или) перестрахованию и получившее лицензию на осуществление соответствующего вида страховой деятельности в установл</w:t>
      </w:r>
      <w:r w:rsidR="00814025" w:rsidRPr="00471AB4">
        <w:t>енном Законом 4015-1 порядке.</w:t>
      </w:r>
    </w:p>
    <w:p w14:paraId="12CF0ECD" w14:textId="0D5C7232" w:rsidR="001106FE" w:rsidRPr="00471AB4" w:rsidRDefault="001106FE" w:rsidP="002C62C4">
      <w:pPr>
        <w:autoSpaceDE w:val="0"/>
        <w:autoSpaceDN w:val="0"/>
        <w:adjustRightInd w:val="0"/>
        <w:ind w:firstLine="540"/>
        <w:jc w:val="both"/>
      </w:pPr>
      <w:r w:rsidRPr="00471AB4">
        <w:t xml:space="preserve">Иностранная страховая организация - иностранное юридическое лицо, соответствующее требованиям, установленным </w:t>
      </w:r>
      <w:r w:rsidR="00814025" w:rsidRPr="00471AB4">
        <w:t>п.1 ст.33.1 З</w:t>
      </w:r>
      <w:r w:rsidRPr="00471AB4">
        <w:t xml:space="preserve">акона 4015-1, осуществляющее коммерческое присутствие на территории Российской Федерации путем создания филиала (филиалов) и получившее лицензию на осуществление соответствующего вида страховой деятельности на территории Российской Федерации в установленном законом порядке. </w:t>
      </w:r>
    </w:p>
    <w:p w14:paraId="02F1743A" w14:textId="6E29F4B2" w:rsidR="001106FE" w:rsidRPr="00471AB4" w:rsidRDefault="001106FE" w:rsidP="002C62C4">
      <w:pPr>
        <w:autoSpaceDE w:val="0"/>
        <w:autoSpaceDN w:val="0"/>
        <w:adjustRightInd w:val="0"/>
        <w:ind w:firstLine="540"/>
        <w:jc w:val="both"/>
      </w:pPr>
      <w:r w:rsidRPr="00471AB4">
        <w:t>Общество взаимного страхования - юридическое лицо, созданное в соответствии с законодательством Российской Федерации для осуществления деятельности по взаимному страхованию и получившее лицензию на осуществление взаимного страхования в установленном Законом 4015-1 порядке.</w:t>
      </w:r>
    </w:p>
    <w:p w14:paraId="596729FE" w14:textId="77777777" w:rsidR="001106FE" w:rsidRPr="00471AB4" w:rsidRDefault="001106FE" w:rsidP="002C62C4">
      <w:pPr>
        <w:autoSpaceDE w:val="0"/>
        <w:autoSpaceDN w:val="0"/>
        <w:adjustRightInd w:val="0"/>
        <w:ind w:firstLine="540"/>
        <w:jc w:val="both"/>
      </w:pPr>
    </w:p>
    <w:p w14:paraId="2DD3347F" w14:textId="3E2FE0DA" w:rsidR="00B9670C" w:rsidRPr="00471AB4" w:rsidRDefault="003522BB" w:rsidP="002C62C4">
      <w:pPr>
        <w:autoSpaceDE w:val="0"/>
        <w:autoSpaceDN w:val="0"/>
        <w:adjustRightInd w:val="0"/>
        <w:ind w:firstLine="540"/>
        <w:jc w:val="both"/>
      </w:pPr>
      <w:r w:rsidRPr="00471AB4">
        <w:t xml:space="preserve">В соответствии со ст. </w:t>
      </w:r>
      <w:r w:rsidR="00795D81" w:rsidRPr="00471AB4">
        <w:t>5 115</w:t>
      </w:r>
      <w:r w:rsidR="00814025" w:rsidRPr="00471AB4">
        <w:t>-</w:t>
      </w:r>
      <w:r w:rsidR="00795D81" w:rsidRPr="00471AB4">
        <w:t>ФЗ страховые организации (за исключением страховых медицинских организаций, осуществляющих деятельность исключительно в сфере обязательного медицинского страхования), страховые брокеры, а также иностранные страховые организации, имеющие право в соответствии с</w:t>
      </w:r>
      <w:r w:rsidR="001106FE" w:rsidRPr="00471AB4">
        <w:t xml:space="preserve"> Законом 4015-1</w:t>
      </w:r>
      <w:r w:rsidR="00795D81" w:rsidRPr="00471AB4">
        <w:t xml:space="preserve"> осуществлять страховую деятельность на территории Российской Федерации (далее - иностранные страховые организации) относятся к организациям, осуществляющим операции с денежными средствами или иным имуществом.</w:t>
      </w:r>
      <w:r w:rsidR="001106FE" w:rsidRPr="00471AB4">
        <w:t xml:space="preserve"> Таким образом, на страховые организации распространяются требования 115</w:t>
      </w:r>
      <w:r w:rsidR="00814025" w:rsidRPr="00471AB4">
        <w:t>-</w:t>
      </w:r>
      <w:r w:rsidR="001106FE" w:rsidRPr="00471AB4">
        <w:t xml:space="preserve">ФЗ в отношении: </w:t>
      </w:r>
    </w:p>
    <w:p w14:paraId="47723DD9" w14:textId="1A91BE56" w:rsidR="00795D81" w:rsidRPr="00471AB4" w:rsidRDefault="001106FE" w:rsidP="002C62C4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</w:pPr>
      <w:r w:rsidRPr="00471AB4">
        <w:t xml:space="preserve">идентификации клиентов, их бенефициарных владельцев, представителей и (или) выгодоприобретателей; </w:t>
      </w:r>
    </w:p>
    <w:p w14:paraId="643FA6AE" w14:textId="75E6497D" w:rsidR="00B9670C" w:rsidRPr="00471AB4" w:rsidRDefault="00B9670C" w:rsidP="002C62C4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</w:pPr>
      <w:r w:rsidRPr="00471AB4">
        <w:t>определения целей финансово-хозяйственной деятельности, финансового положения и деловой репутации клиентов, а также источников происхождения денежных средств и (или) иного имущества клиентов;</w:t>
      </w:r>
    </w:p>
    <w:p w14:paraId="1E9E2C9C" w14:textId="42C61CC1" w:rsidR="00B9670C" w:rsidRPr="00471AB4" w:rsidRDefault="00B9670C" w:rsidP="002C62C4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</w:pPr>
      <w:r w:rsidRPr="00471AB4">
        <w:t>документальному фиксированию и представлению в уполномоченный орган не позднее трех рабочих дней, следующих за днем совершения операции, сведения по подлежащим обязательному контролю операциям с денежными средствами или иным имуществом, совершаемым их клиентами;</w:t>
      </w:r>
    </w:p>
    <w:p w14:paraId="28135D07" w14:textId="749DFE17" w:rsidR="00B9670C" w:rsidRPr="00471AB4" w:rsidRDefault="00B9670C" w:rsidP="002C62C4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</w:pPr>
      <w:r w:rsidRPr="00471AB4">
        <w:t xml:space="preserve">применению мер по замораживанию (блокированию) денежных средств или иного имущества; регулярной проверке на наличие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имущества, и </w:t>
      </w:r>
      <w:hyperlink r:id="rId7" w:history="1">
        <w:r w:rsidRPr="00471AB4">
          <w:t>информировать</w:t>
        </w:r>
      </w:hyperlink>
      <w:r w:rsidRPr="00471AB4">
        <w:t xml:space="preserve"> о результатах такой проверки уполномоченный орган;</w:t>
      </w:r>
      <w:r w:rsidR="004A15D5" w:rsidRPr="00471AB4">
        <w:t xml:space="preserve"> и т.д.</w:t>
      </w:r>
    </w:p>
    <w:p w14:paraId="2C54ACB4" w14:textId="77777777" w:rsidR="00795D81" w:rsidRPr="00471AB4" w:rsidRDefault="00795D81" w:rsidP="002C62C4">
      <w:pPr>
        <w:autoSpaceDE w:val="0"/>
        <w:autoSpaceDN w:val="0"/>
        <w:adjustRightInd w:val="0"/>
        <w:ind w:firstLine="540"/>
        <w:jc w:val="both"/>
      </w:pPr>
    </w:p>
    <w:p w14:paraId="135D70CB" w14:textId="77E3C4C0" w:rsidR="00564D04" w:rsidRPr="00471AB4" w:rsidRDefault="004A15D5" w:rsidP="002C6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112"/>
      <w:bookmarkEnd w:id="1"/>
      <w:r w:rsidRPr="00471AB4">
        <w:rPr>
          <w:rFonts w:ascii="Times New Roman" w:hAnsi="Times New Roman" w:cs="Times New Roman"/>
          <w:sz w:val="24"/>
          <w:szCs w:val="24"/>
          <w:lang w:val="ru-RU"/>
        </w:rPr>
        <w:t xml:space="preserve">В целях предотвращения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 страховые организации обязаны разрабатывать правила внутреннего контроля, </w:t>
      </w:r>
      <w:r w:rsidRPr="00471AB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назначать специальных должностных лиц, ответственных за реализацию правил внутреннего, а также принимать </w:t>
      </w:r>
      <w:hyperlink r:id="rId8" w:history="1">
        <w:r w:rsidRPr="00471AB4">
          <w:rPr>
            <w:rFonts w:ascii="Times New Roman" w:hAnsi="Times New Roman" w:cs="Times New Roman"/>
            <w:sz w:val="24"/>
            <w:szCs w:val="24"/>
            <w:lang w:val="ru-RU"/>
          </w:rPr>
          <w:t>иные</w:t>
        </w:r>
      </w:hyperlink>
      <w:r w:rsidRPr="00471AB4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внутренние организационные меры в указанных целях.</w:t>
      </w:r>
    </w:p>
    <w:p w14:paraId="16976357" w14:textId="77777777" w:rsidR="004A15D5" w:rsidRPr="00471AB4" w:rsidRDefault="004A15D5" w:rsidP="002C62C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31BAD8" w14:textId="2DB48BCE" w:rsidR="003522BB" w:rsidRPr="00471AB4" w:rsidRDefault="003522BB" w:rsidP="002C62C4">
      <w:pPr>
        <w:autoSpaceDE w:val="0"/>
        <w:autoSpaceDN w:val="0"/>
        <w:adjustRightInd w:val="0"/>
        <w:ind w:firstLine="720"/>
        <w:jc w:val="both"/>
      </w:pPr>
      <w:r w:rsidRPr="00471AB4">
        <w:rPr>
          <w:rFonts w:eastAsiaTheme="minorHAnsi"/>
          <w:lang w:eastAsia="en-US"/>
        </w:rPr>
        <w:t xml:space="preserve">Органом, осуществляющим регулирование, контроль и надзор в сфере </w:t>
      </w:r>
      <w:r w:rsidR="004A15D5" w:rsidRPr="00471AB4">
        <w:rPr>
          <w:rFonts w:eastAsiaTheme="minorHAnsi"/>
          <w:lang w:eastAsia="en-US"/>
        </w:rPr>
        <w:t>страхования</w:t>
      </w:r>
      <w:r w:rsidR="00007941" w:rsidRPr="00471AB4">
        <w:rPr>
          <w:rFonts w:eastAsiaTheme="minorHAnsi"/>
          <w:lang w:eastAsia="en-US"/>
        </w:rPr>
        <w:t xml:space="preserve"> </w:t>
      </w:r>
      <w:r w:rsidRPr="00471AB4">
        <w:rPr>
          <w:rFonts w:eastAsiaTheme="minorHAnsi"/>
          <w:lang w:eastAsia="en-US"/>
        </w:rPr>
        <w:t xml:space="preserve">является Банк России. Банк России устанавливает </w:t>
      </w:r>
      <w:r w:rsidRPr="00471AB4">
        <w:t xml:space="preserve">требования к правилам внутреннего контроля </w:t>
      </w:r>
      <w:r w:rsidR="004A15D5" w:rsidRPr="00471AB4">
        <w:t xml:space="preserve">страховых </w:t>
      </w:r>
      <w:r w:rsidR="00007941" w:rsidRPr="00471AB4">
        <w:t>организаций</w:t>
      </w:r>
      <w:r w:rsidRPr="00471AB4">
        <w:t xml:space="preserve"> в целях противодействия легализации (отмыванию) доходов,</w:t>
      </w:r>
      <w:r w:rsidR="00412675" w:rsidRPr="00471AB4">
        <w:t xml:space="preserve"> полученных преступным путем, </w:t>
      </w:r>
      <w:r w:rsidRPr="00471AB4">
        <w:t>финансированию терроризма</w:t>
      </w:r>
      <w:r w:rsidR="00412675" w:rsidRPr="00471AB4">
        <w:t xml:space="preserve"> и распространению оружия массового уничтожения</w:t>
      </w:r>
      <w:r w:rsidRPr="00471AB4">
        <w:t xml:space="preserve"> (далее - ПВК по ПОД/ФТ</w:t>
      </w:r>
      <w:r w:rsidR="00412675" w:rsidRPr="00471AB4">
        <w:t>/ФРОМУ</w:t>
      </w:r>
      <w:r w:rsidRPr="00471AB4">
        <w:t>)</w:t>
      </w:r>
      <w:r w:rsidR="005B03CB" w:rsidRPr="00471AB4">
        <w:t>.</w:t>
      </w:r>
    </w:p>
    <w:p w14:paraId="161034E8" w14:textId="77777777" w:rsidR="003522BB" w:rsidRPr="00471AB4" w:rsidRDefault="003522BB" w:rsidP="002C62C4">
      <w:pPr>
        <w:ind w:firstLine="11"/>
        <w:jc w:val="both"/>
        <w:rPr>
          <w:b/>
        </w:rPr>
      </w:pPr>
    </w:p>
    <w:p w14:paraId="4633E972" w14:textId="28C06EDA" w:rsidR="00DB3CBC" w:rsidRPr="00471AB4" w:rsidRDefault="00DB3CBC" w:rsidP="002C62C4">
      <w:pPr>
        <w:pStyle w:val="a3"/>
        <w:numPr>
          <w:ilvl w:val="0"/>
          <w:numId w:val="9"/>
        </w:numPr>
        <w:ind w:left="360"/>
        <w:jc w:val="both"/>
        <w:rPr>
          <w:b/>
        </w:rPr>
      </w:pPr>
      <w:r w:rsidRPr="00471AB4">
        <w:rPr>
          <w:b/>
        </w:rPr>
        <w:t xml:space="preserve">Национальная </w:t>
      </w:r>
      <w:r w:rsidR="00AA3D38" w:rsidRPr="00471AB4">
        <w:rPr>
          <w:b/>
        </w:rPr>
        <w:t xml:space="preserve">и секторальная </w:t>
      </w:r>
      <w:r w:rsidRPr="00471AB4">
        <w:rPr>
          <w:b/>
        </w:rPr>
        <w:t>оценка рисков</w:t>
      </w:r>
    </w:p>
    <w:p w14:paraId="508FA69C" w14:textId="77777777" w:rsidR="00DB3CBC" w:rsidRPr="00471AB4" w:rsidRDefault="00DB3CBC" w:rsidP="002C62C4">
      <w:pPr>
        <w:ind w:firstLine="11"/>
        <w:jc w:val="both"/>
      </w:pPr>
    </w:p>
    <w:p w14:paraId="31F7939A" w14:textId="452F01B8" w:rsidR="00DB3CBC" w:rsidRPr="00471AB4" w:rsidRDefault="00DB3CBC" w:rsidP="002C62C4">
      <w:pPr>
        <w:ind w:firstLine="720"/>
        <w:jc w:val="both"/>
      </w:pPr>
      <w:r w:rsidRPr="00471AB4">
        <w:t>Результаты национальной оценки рисков ОД/ФТ/ФРОМУ (далее – НОР) содержат ключевые риски, угрозы и уязвимости, характерные для Российской Федерации. Э</w:t>
      </w:r>
      <w:r w:rsidR="0055783B" w:rsidRPr="00471AB4">
        <w:t>ти результаты изложены в Отчете</w:t>
      </w:r>
      <w:r w:rsidRPr="00471AB4">
        <w:t xml:space="preserve"> о национальной оценке рисков легализации (отмыван</w:t>
      </w:r>
      <w:r w:rsidR="0055783B" w:rsidRPr="00471AB4">
        <w:t>ия) преступных доходов и Отчете</w:t>
      </w:r>
      <w:r w:rsidRPr="00471AB4">
        <w:t xml:space="preserve"> о национальной оценке рисков финансирования терроризма, разме</w:t>
      </w:r>
      <w:r w:rsidR="0055783B" w:rsidRPr="00471AB4">
        <w:t>щенных на официальных</w:t>
      </w:r>
      <w:r w:rsidRPr="00471AB4">
        <w:t xml:space="preserve"> Интернет-сайте Росфинмониторинга (</w:t>
      </w:r>
      <w:hyperlink r:id="rId9" w:history="1">
        <w:r w:rsidR="00814025" w:rsidRPr="00471AB4">
          <w:rPr>
            <w:rStyle w:val="a6"/>
          </w:rPr>
          <w:t>https://fedsfm.ru/fm/nor</w:t>
        </w:r>
      </w:hyperlink>
      <w:r w:rsidR="00814025" w:rsidRPr="00471AB4">
        <w:t xml:space="preserve"> </w:t>
      </w:r>
      <w:r w:rsidRPr="00471AB4">
        <w:t>)</w:t>
      </w:r>
      <w:r w:rsidR="00814025" w:rsidRPr="00471AB4">
        <w:t>.</w:t>
      </w:r>
    </w:p>
    <w:p w14:paraId="7A69AA8B" w14:textId="006B959A" w:rsidR="00DB3CBC" w:rsidRPr="00471AB4" w:rsidRDefault="00DB3CBC" w:rsidP="002C62C4">
      <w:pPr>
        <w:ind w:firstLine="720"/>
        <w:jc w:val="both"/>
      </w:pPr>
      <w:r w:rsidRPr="00471AB4">
        <w:t>Результаты НОР могут быть использованы в процессе получения аудитором понимания аудируемого лица и его окружения, в частности, для выявления и оценки соответствующих рисков и планирования ответных действий. Основные уязвимые места и риски ОД/ФТ/ФРОМУ, описанные в результатах НОР, целесообразно использовать в качестве индикаторов для определения областей повышенного аудиторского риска при планировании аудита</w:t>
      </w:r>
      <w:r w:rsidR="00DC5490" w:rsidRPr="00471AB4">
        <w:t xml:space="preserve"> </w:t>
      </w:r>
      <w:r w:rsidR="00AD567B" w:rsidRPr="00471AB4">
        <w:t>страховых</w:t>
      </w:r>
      <w:r w:rsidR="00DC5490" w:rsidRPr="00471AB4">
        <w:t xml:space="preserve"> организаций, а также для</w:t>
      </w:r>
      <w:r w:rsidRPr="00471AB4">
        <w:t xml:space="preserve"> идентификации рисков, которые требуют особого внимания.</w:t>
      </w:r>
    </w:p>
    <w:p w14:paraId="72341055" w14:textId="70CEA9F4" w:rsidR="00DB3CBC" w:rsidRPr="00471AB4" w:rsidRDefault="00DB3CBC" w:rsidP="002C62C4">
      <w:pPr>
        <w:ind w:firstLine="720"/>
        <w:jc w:val="both"/>
      </w:pPr>
      <w:r w:rsidRPr="00471AB4">
        <w:t xml:space="preserve">При изучении деятельности аудируемого лица, относящегося к </w:t>
      </w:r>
      <w:r w:rsidR="009334FC" w:rsidRPr="00471AB4">
        <w:t>страховым</w:t>
      </w:r>
      <w:r w:rsidR="00582247" w:rsidRPr="00471AB4">
        <w:t xml:space="preserve"> организациям</w:t>
      </w:r>
      <w:r w:rsidRPr="00471AB4">
        <w:t xml:space="preserve">, </w:t>
      </w:r>
      <w:r w:rsidR="000142B4" w:rsidRPr="00471AB4">
        <w:t>следует обратить</w:t>
      </w:r>
      <w:r w:rsidRPr="00471AB4">
        <w:t xml:space="preserve"> внимание на описанные в результатах НОР угрозы в </w:t>
      </w:r>
      <w:r w:rsidR="00460027" w:rsidRPr="00471AB4">
        <w:t>сфере</w:t>
      </w:r>
      <w:r w:rsidR="009334FC" w:rsidRPr="00471AB4">
        <w:t xml:space="preserve"> страхования</w:t>
      </w:r>
      <w:r w:rsidR="00460027" w:rsidRPr="00471AB4">
        <w:t>, а также в области коррупционных нарушений.</w:t>
      </w:r>
    </w:p>
    <w:p w14:paraId="50AF4A5F" w14:textId="3761D4C6" w:rsidR="00460027" w:rsidRPr="00471AB4" w:rsidRDefault="00460027" w:rsidP="002C62C4">
      <w:pPr>
        <w:ind w:firstLine="720"/>
        <w:jc w:val="both"/>
      </w:pPr>
      <w:r w:rsidRPr="00471AB4">
        <w:t xml:space="preserve">Финансовый сектор в целом является наиболее регулируемым и законопослушным с точки зрения соблюдения законодательства </w:t>
      </w:r>
      <w:r w:rsidR="00DC5490" w:rsidRPr="00471AB4">
        <w:t>п</w:t>
      </w:r>
      <w:r w:rsidRPr="00471AB4">
        <w:t>о ПОД/ФТ</w:t>
      </w:r>
      <w:r w:rsidR="00412675" w:rsidRPr="00471AB4">
        <w:t>/ФРОМУ</w:t>
      </w:r>
      <w:r w:rsidRPr="00471AB4">
        <w:t>. Банк России совместно с правоохранительными органами, Генеральной прокуратурой и Росфинмониторингом последовательно занимается очищением финансового сектора от финансовых организаций,</w:t>
      </w:r>
      <w:r w:rsidR="00412675" w:rsidRPr="00471AB4">
        <w:t xml:space="preserve"> в том числе страховых,</w:t>
      </w:r>
      <w:r w:rsidR="00814025" w:rsidRPr="00471AB4">
        <w:t xml:space="preserve"> </w:t>
      </w:r>
      <w:r w:rsidR="00412675" w:rsidRPr="00471AB4">
        <w:t xml:space="preserve"> </w:t>
      </w:r>
      <w:r w:rsidRPr="00471AB4">
        <w:t xml:space="preserve"> бизнес которых ориентирован на личное обогащение их руководства и владельцев, и проведение высокорисковых операций в целях обслуживания потребностей теневой экономики.</w:t>
      </w:r>
    </w:p>
    <w:p w14:paraId="55BF1D7F" w14:textId="3E464645" w:rsidR="00DD2225" w:rsidRPr="00471AB4" w:rsidRDefault="00460027" w:rsidP="002C62C4">
      <w:pPr>
        <w:ind w:firstLine="720"/>
        <w:jc w:val="both"/>
      </w:pPr>
      <w:r w:rsidRPr="00471AB4">
        <w:t xml:space="preserve">Тем не менее, при приеме на обслуживание </w:t>
      </w:r>
      <w:r w:rsidR="009334FC" w:rsidRPr="00471AB4">
        <w:t>страховой</w:t>
      </w:r>
      <w:r w:rsidR="00DD2225" w:rsidRPr="00471AB4">
        <w:t xml:space="preserve"> организац</w:t>
      </w:r>
      <w:r w:rsidR="00DC5490" w:rsidRPr="00471AB4">
        <w:t>и</w:t>
      </w:r>
      <w:r w:rsidR="00DD2225" w:rsidRPr="00471AB4">
        <w:t>и</w:t>
      </w:r>
      <w:r w:rsidR="00D60075" w:rsidRPr="00471AB4">
        <w:t>,</w:t>
      </w:r>
      <w:r w:rsidRPr="00471AB4">
        <w:t xml:space="preserve"> в </w:t>
      </w:r>
      <w:r w:rsidR="00DC5490" w:rsidRPr="00471AB4">
        <w:t>процессе получения понимания</w:t>
      </w:r>
      <w:r w:rsidR="00D60075" w:rsidRPr="00471AB4">
        <w:t xml:space="preserve"> </w:t>
      </w:r>
      <w:r w:rsidR="00DB3CBC" w:rsidRPr="00471AB4">
        <w:t xml:space="preserve">деятельности </w:t>
      </w:r>
      <w:r w:rsidR="00D60075" w:rsidRPr="00471AB4">
        <w:t>и</w:t>
      </w:r>
      <w:r w:rsidR="00DB3CBC" w:rsidRPr="00471AB4">
        <w:t xml:space="preserve"> системы внутреннего контроля</w:t>
      </w:r>
      <w:r w:rsidR="00D60075" w:rsidRPr="00471AB4">
        <w:t>,</w:t>
      </w:r>
      <w:r w:rsidR="00DB3CBC" w:rsidRPr="00471AB4">
        <w:t xml:space="preserve"> необходимо оценить, насколько риски, описанные в результатах НОР, присущи деятельности аудируемого лица, и выделить значительные виды операций и области, в которых возможно появления рисков ОД/ФТ/ФРОМУ. </w:t>
      </w:r>
    </w:p>
    <w:p w14:paraId="0DE22966" w14:textId="385ADA1D" w:rsidR="00412675" w:rsidRPr="00471AB4" w:rsidRDefault="00412675" w:rsidP="002C62C4">
      <w:pPr>
        <w:ind w:firstLine="720"/>
        <w:jc w:val="both"/>
      </w:pPr>
    </w:p>
    <w:p w14:paraId="727894BF" w14:textId="32AD4125" w:rsidR="00DD2225" w:rsidRPr="00471AB4" w:rsidRDefault="00DD2225" w:rsidP="002C62C4">
      <w:pPr>
        <w:ind w:firstLine="720"/>
        <w:jc w:val="both"/>
        <w:rPr>
          <w:rStyle w:val="A20"/>
          <w:rFonts w:cs="Times New Roman"/>
          <w:sz w:val="24"/>
          <w:szCs w:val="24"/>
        </w:rPr>
      </w:pPr>
      <w:r w:rsidRPr="00471AB4">
        <w:rPr>
          <w:rStyle w:val="A20"/>
          <w:rFonts w:cs="Times New Roman"/>
          <w:sz w:val="24"/>
          <w:szCs w:val="24"/>
        </w:rPr>
        <w:t>В опубликованном в 2022</w:t>
      </w:r>
      <w:r w:rsidR="009334FC" w:rsidRPr="00471AB4">
        <w:rPr>
          <w:rStyle w:val="A20"/>
          <w:rFonts w:cs="Times New Roman"/>
          <w:sz w:val="24"/>
          <w:szCs w:val="24"/>
        </w:rPr>
        <w:t xml:space="preserve"> </w:t>
      </w:r>
      <w:r w:rsidRPr="00471AB4">
        <w:rPr>
          <w:rStyle w:val="A20"/>
          <w:rFonts w:cs="Times New Roman"/>
          <w:sz w:val="24"/>
          <w:szCs w:val="24"/>
        </w:rPr>
        <w:t xml:space="preserve">г. Публичном отчете «НОР легализации (отмывания) доходов, полученных преступным путем» отмечается </w:t>
      </w:r>
      <w:r w:rsidR="00FC16DE" w:rsidRPr="00471AB4">
        <w:rPr>
          <w:rStyle w:val="A20"/>
          <w:rFonts w:cs="Times New Roman"/>
          <w:sz w:val="24"/>
          <w:szCs w:val="24"/>
        </w:rPr>
        <w:t>умеренный</w:t>
      </w:r>
      <w:r w:rsidRPr="00471AB4">
        <w:rPr>
          <w:rStyle w:val="A20"/>
          <w:rFonts w:cs="Times New Roman"/>
          <w:sz w:val="24"/>
          <w:szCs w:val="24"/>
        </w:rPr>
        <w:t xml:space="preserve"> уровень</w:t>
      </w:r>
      <w:r w:rsidR="00FC16DE" w:rsidRPr="00471AB4">
        <w:rPr>
          <w:rStyle w:val="A20"/>
          <w:rFonts w:cs="Times New Roman"/>
          <w:sz w:val="24"/>
          <w:szCs w:val="24"/>
        </w:rPr>
        <w:t xml:space="preserve"> риска, ха</w:t>
      </w:r>
      <w:r w:rsidR="00412675" w:rsidRPr="00471AB4">
        <w:rPr>
          <w:rStyle w:val="A20"/>
          <w:rFonts w:cs="Times New Roman"/>
          <w:sz w:val="24"/>
          <w:szCs w:val="24"/>
        </w:rPr>
        <w:t>р</w:t>
      </w:r>
      <w:r w:rsidR="00FC16DE" w:rsidRPr="00471AB4">
        <w:rPr>
          <w:rStyle w:val="A20"/>
          <w:rFonts w:cs="Times New Roman"/>
          <w:sz w:val="24"/>
          <w:szCs w:val="24"/>
        </w:rPr>
        <w:t>актерный для страховых организаций</w:t>
      </w:r>
      <w:r w:rsidRPr="00471AB4">
        <w:rPr>
          <w:rStyle w:val="A20"/>
          <w:rFonts w:cs="Times New Roman"/>
          <w:sz w:val="24"/>
          <w:szCs w:val="24"/>
        </w:rPr>
        <w:t>.</w:t>
      </w:r>
      <w:r w:rsidR="00FC16DE" w:rsidRPr="00471AB4">
        <w:rPr>
          <w:rStyle w:val="A20"/>
          <w:rFonts w:cs="Times New Roman"/>
          <w:sz w:val="24"/>
          <w:szCs w:val="24"/>
        </w:rPr>
        <w:t xml:space="preserve"> В отчете указано, что в схемах легализации могут использоваться отдельные продукты и услуги страхового сек</w:t>
      </w:r>
      <w:r w:rsidR="00FC16DE" w:rsidRPr="00471AB4">
        <w:rPr>
          <w:rStyle w:val="A20"/>
          <w:rFonts w:cs="Times New Roman"/>
          <w:sz w:val="24"/>
          <w:szCs w:val="24"/>
        </w:rPr>
        <w:softHyphen/>
        <w:t>тора. Например, транзитное перечисление средств через оплату по договорам инве</w:t>
      </w:r>
      <w:r w:rsidR="00FC16DE" w:rsidRPr="00471AB4">
        <w:rPr>
          <w:rStyle w:val="A20"/>
          <w:rFonts w:cs="Times New Roman"/>
          <w:sz w:val="24"/>
          <w:szCs w:val="24"/>
        </w:rPr>
        <w:softHyphen/>
        <w:t>стиционных видов страхования с последую</w:t>
      </w:r>
      <w:r w:rsidR="00FC16DE" w:rsidRPr="00471AB4">
        <w:rPr>
          <w:rStyle w:val="A20"/>
          <w:rFonts w:cs="Times New Roman"/>
          <w:sz w:val="24"/>
          <w:szCs w:val="24"/>
        </w:rPr>
        <w:softHyphen/>
        <w:t>щим досрочным расторжением и возвратом средств на иной счет либо заменой стороны по договору (например, страхователя или вы</w:t>
      </w:r>
      <w:r w:rsidR="00FC16DE" w:rsidRPr="00471AB4">
        <w:rPr>
          <w:rStyle w:val="A20"/>
          <w:rFonts w:cs="Times New Roman"/>
          <w:sz w:val="24"/>
          <w:szCs w:val="24"/>
        </w:rPr>
        <w:softHyphen/>
        <w:t>годоприобретателя) и переводом ей средств в качестве страховой премии. Вывод за ру</w:t>
      </w:r>
      <w:r w:rsidR="00FC16DE" w:rsidRPr="00471AB4">
        <w:rPr>
          <w:rStyle w:val="A20"/>
          <w:rFonts w:cs="Times New Roman"/>
          <w:sz w:val="24"/>
          <w:szCs w:val="24"/>
        </w:rPr>
        <w:softHyphen/>
        <w:t>беж возможен через осуществление плате</w:t>
      </w:r>
      <w:r w:rsidR="00FC16DE" w:rsidRPr="00471AB4">
        <w:rPr>
          <w:rStyle w:val="A20"/>
          <w:rFonts w:cs="Times New Roman"/>
          <w:sz w:val="24"/>
          <w:szCs w:val="24"/>
        </w:rPr>
        <w:softHyphen/>
        <w:t>жей по договорам перестрахования. Также преступные доходы и/или легализованные средства могут быть интегрированы в при</w:t>
      </w:r>
      <w:r w:rsidR="00FC16DE" w:rsidRPr="00471AB4">
        <w:rPr>
          <w:rStyle w:val="A20"/>
          <w:rFonts w:cs="Times New Roman"/>
          <w:sz w:val="24"/>
          <w:szCs w:val="24"/>
        </w:rPr>
        <w:softHyphen/>
        <w:t>обретение страховых продуктов (в том чис</w:t>
      </w:r>
      <w:r w:rsidR="00FC16DE" w:rsidRPr="00471AB4">
        <w:rPr>
          <w:rStyle w:val="A20"/>
          <w:rFonts w:cs="Times New Roman"/>
          <w:sz w:val="24"/>
          <w:szCs w:val="24"/>
        </w:rPr>
        <w:softHyphen/>
        <w:t>ле в пользу третьих лиц).</w:t>
      </w:r>
    </w:p>
    <w:p w14:paraId="264D480F" w14:textId="7DD22BA1" w:rsidR="00FC16DE" w:rsidRPr="00471AB4" w:rsidRDefault="00FC16DE" w:rsidP="002C62C4">
      <w:pPr>
        <w:ind w:firstLine="720"/>
        <w:jc w:val="both"/>
        <w:rPr>
          <w:rStyle w:val="A20"/>
          <w:rFonts w:cs="Times New Roman"/>
          <w:sz w:val="24"/>
          <w:szCs w:val="24"/>
        </w:rPr>
      </w:pPr>
    </w:p>
    <w:p w14:paraId="02E0CAEF" w14:textId="17DC05E1" w:rsidR="00FC16DE" w:rsidRPr="00471AB4" w:rsidRDefault="00FC16DE" w:rsidP="002C62C4">
      <w:pPr>
        <w:ind w:firstLine="720"/>
        <w:jc w:val="both"/>
        <w:rPr>
          <w:rStyle w:val="A20"/>
          <w:rFonts w:cs="Times New Roman"/>
          <w:sz w:val="24"/>
          <w:szCs w:val="24"/>
        </w:rPr>
      </w:pPr>
      <w:r w:rsidRPr="00471AB4">
        <w:rPr>
          <w:rStyle w:val="A20"/>
          <w:rFonts w:cs="Times New Roman"/>
          <w:sz w:val="24"/>
          <w:szCs w:val="24"/>
        </w:rPr>
        <w:t>В отчете приведены следующие характерные уязвимости для страховых организаций:</w:t>
      </w:r>
    </w:p>
    <w:p w14:paraId="6EDA5709" w14:textId="4949ED5A" w:rsidR="00FC16DE" w:rsidRPr="00471AB4" w:rsidRDefault="00FC16DE" w:rsidP="002C62C4">
      <w:pPr>
        <w:ind w:firstLine="720"/>
        <w:jc w:val="both"/>
        <w:rPr>
          <w:rStyle w:val="A20"/>
          <w:rFonts w:cs="Times New Roman"/>
          <w:sz w:val="24"/>
          <w:szCs w:val="24"/>
        </w:rPr>
      </w:pPr>
    </w:p>
    <w:p w14:paraId="0BA750EA" w14:textId="79ABE22D" w:rsidR="00FC16DE" w:rsidRPr="00471AB4" w:rsidRDefault="00FC16DE" w:rsidP="002C62C4">
      <w:pPr>
        <w:pStyle w:val="Pa7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471AB4">
        <w:rPr>
          <w:rStyle w:val="A20"/>
          <w:rFonts w:ascii="Times New Roman" w:hAnsi="Times New Roman" w:cs="Times New Roman"/>
          <w:sz w:val="24"/>
          <w:szCs w:val="24"/>
          <w:lang w:val="ru-RU"/>
        </w:rPr>
        <w:t>Сложность справедливой оценки стоимо</w:t>
      </w:r>
      <w:r w:rsidRPr="00471AB4">
        <w:rPr>
          <w:rStyle w:val="A20"/>
          <w:rFonts w:ascii="Times New Roman" w:hAnsi="Times New Roman" w:cs="Times New Roman"/>
          <w:sz w:val="24"/>
          <w:szCs w:val="24"/>
          <w:lang w:val="ru-RU"/>
        </w:rPr>
        <w:softHyphen/>
        <w:t xml:space="preserve">сти продуктов страхования </w:t>
      </w:r>
      <w:r w:rsidR="00814025" w:rsidRPr="00471AB4">
        <w:rPr>
          <w:rStyle w:val="A20"/>
          <w:rFonts w:ascii="Times New Roman" w:hAnsi="Times New Roman" w:cs="Times New Roman"/>
          <w:sz w:val="24"/>
          <w:szCs w:val="24"/>
          <w:lang w:val="ru-RU"/>
        </w:rPr>
        <w:t>(в частности, перестрахования);</w:t>
      </w:r>
    </w:p>
    <w:p w14:paraId="2CD7E964" w14:textId="05CEF17F" w:rsidR="00FC16DE" w:rsidRPr="00471AB4" w:rsidRDefault="00FC16DE" w:rsidP="002C62C4">
      <w:pPr>
        <w:pStyle w:val="Pa7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471AB4">
        <w:rPr>
          <w:rStyle w:val="A20"/>
          <w:rFonts w:ascii="Times New Roman" w:hAnsi="Times New Roman" w:cs="Times New Roman"/>
          <w:sz w:val="24"/>
          <w:szCs w:val="24"/>
          <w:lang w:val="ru-RU"/>
        </w:rPr>
        <w:t>Гибкость договорных обязательств в рам</w:t>
      </w:r>
      <w:r w:rsidRPr="00471AB4">
        <w:rPr>
          <w:rStyle w:val="A20"/>
          <w:rFonts w:ascii="Times New Roman" w:hAnsi="Times New Roman" w:cs="Times New Roman"/>
          <w:sz w:val="24"/>
          <w:szCs w:val="24"/>
          <w:lang w:val="ru-RU"/>
        </w:rPr>
        <w:softHyphen/>
        <w:t>ках страхового законодательства (возмож</w:t>
      </w:r>
      <w:r w:rsidRPr="00471AB4">
        <w:rPr>
          <w:rStyle w:val="A20"/>
          <w:rFonts w:ascii="Times New Roman" w:hAnsi="Times New Roman" w:cs="Times New Roman"/>
          <w:sz w:val="24"/>
          <w:szCs w:val="24"/>
          <w:lang w:val="ru-RU"/>
        </w:rPr>
        <w:softHyphen/>
        <w:t>ность заключения договоров страхования в пользу третьего лица, а также внесения изменений в указанные договоры в связи со сменой страхователя, застрахова</w:t>
      </w:r>
      <w:r w:rsidR="00814025" w:rsidRPr="00471AB4">
        <w:rPr>
          <w:rStyle w:val="A20"/>
          <w:rFonts w:ascii="Times New Roman" w:hAnsi="Times New Roman" w:cs="Times New Roman"/>
          <w:sz w:val="24"/>
          <w:szCs w:val="24"/>
          <w:lang w:val="ru-RU"/>
        </w:rPr>
        <w:t>нного или выгодоприобретателя);</w:t>
      </w:r>
    </w:p>
    <w:p w14:paraId="342383EA" w14:textId="066B55BB" w:rsidR="00FC16DE" w:rsidRPr="00471AB4" w:rsidRDefault="00FC16DE" w:rsidP="002C62C4">
      <w:pPr>
        <w:pStyle w:val="a3"/>
        <w:numPr>
          <w:ilvl w:val="0"/>
          <w:numId w:val="17"/>
        </w:numPr>
        <w:jc w:val="both"/>
        <w:rPr>
          <w:rStyle w:val="A20"/>
          <w:rFonts w:cs="Times New Roman"/>
          <w:sz w:val="24"/>
          <w:szCs w:val="24"/>
        </w:rPr>
      </w:pPr>
      <w:r w:rsidRPr="00471AB4">
        <w:rPr>
          <w:rStyle w:val="A20"/>
          <w:rFonts w:cs="Times New Roman"/>
          <w:sz w:val="24"/>
          <w:szCs w:val="24"/>
        </w:rPr>
        <w:t>Возможность указания иного собственно</w:t>
      </w:r>
      <w:r w:rsidRPr="00471AB4">
        <w:rPr>
          <w:rStyle w:val="A20"/>
          <w:rFonts w:cs="Times New Roman"/>
          <w:sz w:val="24"/>
          <w:szCs w:val="24"/>
        </w:rPr>
        <w:softHyphen/>
        <w:t>го счета для возврата средств при растор</w:t>
      </w:r>
      <w:r w:rsidRPr="00471AB4">
        <w:rPr>
          <w:rStyle w:val="A20"/>
          <w:rFonts w:cs="Times New Roman"/>
          <w:sz w:val="24"/>
          <w:szCs w:val="24"/>
        </w:rPr>
        <w:softHyphen/>
        <w:t>жении договора страхования.</w:t>
      </w:r>
    </w:p>
    <w:p w14:paraId="5EC4AA98" w14:textId="39D163E2" w:rsidR="00FC16DE" w:rsidRPr="00471AB4" w:rsidRDefault="00FC16DE" w:rsidP="002C62C4">
      <w:pPr>
        <w:ind w:firstLine="720"/>
        <w:jc w:val="both"/>
        <w:rPr>
          <w:rStyle w:val="A20"/>
          <w:rFonts w:cs="Times New Roman"/>
          <w:sz w:val="24"/>
          <w:szCs w:val="24"/>
        </w:rPr>
      </w:pPr>
    </w:p>
    <w:p w14:paraId="0143E2EB" w14:textId="2D676405" w:rsidR="00741A23" w:rsidRPr="00471AB4" w:rsidRDefault="00741A23" w:rsidP="002C62C4">
      <w:pPr>
        <w:autoSpaceDE w:val="0"/>
        <w:autoSpaceDN w:val="0"/>
        <w:adjustRightInd w:val="0"/>
        <w:ind w:firstLine="720"/>
        <w:jc w:val="both"/>
        <w:rPr>
          <w:rStyle w:val="A20"/>
          <w:rFonts w:cs="Times New Roman"/>
          <w:sz w:val="24"/>
          <w:szCs w:val="24"/>
        </w:rPr>
      </w:pPr>
      <w:r w:rsidRPr="00471AB4">
        <w:rPr>
          <w:rStyle w:val="A20"/>
          <w:rFonts w:cs="Times New Roman"/>
          <w:sz w:val="24"/>
          <w:szCs w:val="24"/>
        </w:rPr>
        <w:t xml:space="preserve">В качестве ответных мер на выявленные НОР риски и уязвимости в </w:t>
      </w:r>
      <w:r w:rsidR="00FC16DE" w:rsidRPr="00471AB4">
        <w:rPr>
          <w:rStyle w:val="A20"/>
          <w:rFonts w:cs="Times New Roman"/>
          <w:sz w:val="24"/>
          <w:szCs w:val="24"/>
        </w:rPr>
        <w:t>деятельности участников страхового рынка</w:t>
      </w:r>
      <w:r w:rsidRPr="00471AB4">
        <w:rPr>
          <w:rStyle w:val="A20"/>
          <w:rFonts w:cs="Times New Roman"/>
          <w:sz w:val="24"/>
          <w:szCs w:val="24"/>
        </w:rPr>
        <w:t xml:space="preserve"> были приняты следующие</w:t>
      </w:r>
      <w:r w:rsidR="00FC16DE" w:rsidRPr="00471AB4">
        <w:rPr>
          <w:rStyle w:val="A20"/>
          <w:rFonts w:cs="Times New Roman"/>
          <w:sz w:val="24"/>
          <w:szCs w:val="24"/>
        </w:rPr>
        <w:t xml:space="preserve"> изменения в действующее законодательство</w:t>
      </w:r>
      <w:r w:rsidRPr="00471AB4">
        <w:rPr>
          <w:rStyle w:val="A20"/>
          <w:rFonts w:cs="Times New Roman"/>
          <w:sz w:val="24"/>
          <w:szCs w:val="24"/>
        </w:rPr>
        <w:t>:</w:t>
      </w:r>
    </w:p>
    <w:p w14:paraId="71B6454E" w14:textId="0DFB5469" w:rsidR="006A2AB6" w:rsidRPr="00471AB4" w:rsidRDefault="00FC16DE" w:rsidP="002C62C4">
      <w:pPr>
        <w:pStyle w:val="a3"/>
        <w:numPr>
          <w:ilvl w:val="0"/>
          <w:numId w:val="12"/>
        </w:numPr>
        <w:autoSpaceDE w:val="0"/>
        <w:autoSpaceDN w:val="0"/>
        <w:adjustRightInd w:val="0"/>
        <w:ind w:left="1324"/>
        <w:jc w:val="both"/>
        <w:rPr>
          <w:rStyle w:val="A20"/>
          <w:rFonts w:cs="Times New Roman"/>
          <w:sz w:val="24"/>
          <w:szCs w:val="24"/>
        </w:rPr>
      </w:pPr>
      <w:r w:rsidRPr="00471AB4">
        <w:rPr>
          <w:rStyle w:val="A20"/>
          <w:rFonts w:cs="Times New Roman"/>
          <w:sz w:val="24"/>
          <w:szCs w:val="24"/>
        </w:rPr>
        <w:t>В Закон</w:t>
      </w:r>
      <w:r w:rsidR="00814025" w:rsidRPr="00471AB4">
        <w:rPr>
          <w:rStyle w:val="A20"/>
          <w:rFonts w:cs="Times New Roman"/>
          <w:sz w:val="24"/>
          <w:szCs w:val="24"/>
        </w:rPr>
        <w:t xml:space="preserve"> 4015-1</w:t>
      </w:r>
      <w:r w:rsidRPr="00471AB4">
        <w:rPr>
          <w:rStyle w:val="A20"/>
          <w:rFonts w:cs="Times New Roman"/>
          <w:sz w:val="24"/>
          <w:szCs w:val="24"/>
        </w:rPr>
        <w:t xml:space="preserve"> внесены изменения и введена</w:t>
      </w:r>
      <w:r w:rsidRPr="00471AB4">
        <w:rPr>
          <w:rStyle w:val="A90"/>
          <w:rFonts w:cs="Times New Roman"/>
          <w:sz w:val="24"/>
          <w:szCs w:val="24"/>
        </w:rPr>
        <w:t xml:space="preserve"> </w:t>
      </w:r>
      <w:r w:rsidRPr="00471AB4">
        <w:rPr>
          <w:rStyle w:val="A20"/>
          <w:rFonts w:cs="Times New Roman"/>
          <w:sz w:val="24"/>
          <w:szCs w:val="24"/>
        </w:rPr>
        <w:t>обязанность страхо</w:t>
      </w:r>
      <w:r w:rsidRPr="00471AB4">
        <w:rPr>
          <w:rStyle w:val="A20"/>
          <w:rFonts w:cs="Times New Roman"/>
          <w:sz w:val="24"/>
          <w:szCs w:val="24"/>
        </w:rPr>
        <w:softHyphen/>
        <w:t>вых организаций утверждать положение об оценке страховых рисков и управлении ими, а также предусмотрено постепенное увеличение уставного капитала страховых организаций</w:t>
      </w:r>
      <w:r w:rsidR="006A2AB6" w:rsidRPr="00471AB4">
        <w:rPr>
          <w:rStyle w:val="A20"/>
          <w:rFonts w:cs="Times New Roman"/>
          <w:sz w:val="24"/>
          <w:szCs w:val="24"/>
        </w:rPr>
        <w:t>;</w:t>
      </w:r>
    </w:p>
    <w:p w14:paraId="1684789F" w14:textId="414D799B" w:rsidR="00FC16DE" w:rsidRPr="00471AB4" w:rsidRDefault="00FC16DE" w:rsidP="002C62C4">
      <w:pPr>
        <w:pStyle w:val="a3"/>
        <w:numPr>
          <w:ilvl w:val="0"/>
          <w:numId w:val="12"/>
        </w:numPr>
        <w:autoSpaceDE w:val="0"/>
        <w:autoSpaceDN w:val="0"/>
        <w:adjustRightInd w:val="0"/>
        <w:ind w:left="1324"/>
        <w:jc w:val="both"/>
        <w:rPr>
          <w:rStyle w:val="A20"/>
          <w:rFonts w:cs="Times New Roman"/>
          <w:sz w:val="24"/>
          <w:szCs w:val="24"/>
        </w:rPr>
      </w:pPr>
      <w:r w:rsidRPr="00471AB4">
        <w:rPr>
          <w:rStyle w:val="A20"/>
          <w:rFonts w:cs="Times New Roman"/>
          <w:sz w:val="24"/>
          <w:szCs w:val="24"/>
        </w:rPr>
        <w:t>Усилены полномочия</w:t>
      </w:r>
      <w:r w:rsidRPr="00471AB4">
        <w:rPr>
          <w:rStyle w:val="A90"/>
          <w:rFonts w:cs="Times New Roman"/>
          <w:sz w:val="24"/>
          <w:szCs w:val="24"/>
        </w:rPr>
        <w:t xml:space="preserve"> </w:t>
      </w:r>
      <w:r w:rsidRPr="00471AB4">
        <w:rPr>
          <w:rStyle w:val="A20"/>
          <w:rFonts w:cs="Times New Roman"/>
          <w:sz w:val="24"/>
          <w:szCs w:val="24"/>
        </w:rPr>
        <w:t>Банка России в ча</w:t>
      </w:r>
      <w:r w:rsidRPr="00471AB4">
        <w:rPr>
          <w:rStyle w:val="A20"/>
          <w:rFonts w:cs="Times New Roman"/>
          <w:sz w:val="24"/>
          <w:szCs w:val="24"/>
        </w:rPr>
        <w:softHyphen/>
        <w:t>сти осуществления надзора за деятельно</w:t>
      </w:r>
      <w:r w:rsidRPr="00471AB4">
        <w:rPr>
          <w:rStyle w:val="A20"/>
          <w:rFonts w:cs="Times New Roman"/>
          <w:sz w:val="24"/>
          <w:szCs w:val="24"/>
        </w:rPr>
        <w:softHyphen/>
        <w:t>стью субъектов страхового дела, в том чис</w:t>
      </w:r>
      <w:r w:rsidRPr="00471AB4">
        <w:rPr>
          <w:rStyle w:val="A20"/>
          <w:rFonts w:cs="Times New Roman"/>
          <w:sz w:val="24"/>
          <w:szCs w:val="24"/>
        </w:rPr>
        <w:softHyphen/>
        <w:t>ле в целях предотвращения незаконного воспрепятствования деятельности вре</w:t>
      </w:r>
      <w:r w:rsidRPr="00471AB4">
        <w:rPr>
          <w:rStyle w:val="A20"/>
          <w:rFonts w:cs="Times New Roman"/>
          <w:sz w:val="24"/>
          <w:szCs w:val="24"/>
        </w:rPr>
        <w:softHyphen/>
        <w:t>менных администраций страховых орга</w:t>
      </w:r>
      <w:r w:rsidRPr="00471AB4">
        <w:rPr>
          <w:rStyle w:val="A20"/>
          <w:rFonts w:cs="Times New Roman"/>
          <w:sz w:val="24"/>
          <w:szCs w:val="24"/>
        </w:rPr>
        <w:softHyphen/>
        <w:t>низаций, сопряженной с выводом средств страховых организаций;</w:t>
      </w:r>
    </w:p>
    <w:p w14:paraId="51D22994" w14:textId="77777777" w:rsidR="00FC16DE" w:rsidRPr="00471AB4" w:rsidRDefault="00FC16DE" w:rsidP="002C62C4">
      <w:pPr>
        <w:pStyle w:val="a3"/>
        <w:numPr>
          <w:ilvl w:val="0"/>
          <w:numId w:val="12"/>
        </w:numPr>
        <w:autoSpaceDE w:val="0"/>
        <w:autoSpaceDN w:val="0"/>
        <w:adjustRightInd w:val="0"/>
        <w:ind w:left="1324"/>
        <w:jc w:val="both"/>
        <w:rPr>
          <w:rStyle w:val="A20"/>
          <w:rFonts w:cs="Times New Roman"/>
          <w:sz w:val="24"/>
          <w:szCs w:val="24"/>
        </w:rPr>
      </w:pPr>
      <w:r w:rsidRPr="00471AB4">
        <w:rPr>
          <w:rStyle w:val="A20"/>
          <w:rFonts w:cs="Times New Roman"/>
          <w:sz w:val="24"/>
          <w:szCs w:val="24"/>
        </w:rPr>
        <w:t>Установлен</w:t>
      </w:r>
      <w:r w:rsidRPr="00471AB4">
        <w:rPr>
          <w:rStyle w:val="A90"/>
          <w:rFonts w:cs="Times New Roman"/>
          <w:sz w:val="24"/>
          <w:szCs w:val="24"/>
        </w:rPr>
        <w:t xml:space="preserve"> </w:t>
      </w:r>
      <w:r w:rsidRPr="00471AB4">
        <w:rPr>
          <w:rStyle w:val="A20"/>
          <w:rFonts w:cs="Times New Roman"/>
          <w:sz w:val="24"/>
          <w:szCs w:val="24"/>
        </w:rPr>
        <w:t>стандарт совершения стра</w:t>
      </w:r>
      <w:r w:rsidRPr="00471AB4">
        <w:rPr>
          <w:rStyle w:val="A20"/>
          <w:rFonts w:cs="Times New Roman"/>
          <w:sz w:val="24"/>
          <w:szCs w:val="24"/>
        </w:rPr>
        <w:softHyphen/>
        <w:t>ховыми организациями и иностранными страховыми организациями операций на финансовом рынке, в том числе идентифи</w:t>
      </w:r>
      <w:r w:rsidRPr="00471AB4">
        <w:rPr>
          <w:rStyle w:val="A20"/>
          <w:rFonts w:cs="Times New Roman"/>
          <w:sz w:val="24"/>
          <w:szCs w:val="24"/>
        </w:rPr>
        <w:softHyphen/>
        <w:t>кации в целях ПОД/ФТ;</w:t>
      </w:r>
    </w:p>
    <w:p w14:paraId="2CE56D7E" w14:textId="77777777" w:rsidR="00FC16DE" w:rsidRPr="00471AB4" w:rsidRDefault="00FC16DE" w:rsidP="002C62C4">
      <w:pPr>
        <w:pStyle w:val="a3"/>
        <w:numPr>
          <w:ilvl w:val="0"/>
          <w:numId w:val="12"/>
        </w:numPr>
        <w:autoSpaceDE w:val="0"/>
        <w:autoSpaceDN w:val="0"/>
        <w:adjustRightInd w:val="0"/>
        <w:ind w:left="1324"/>
        <w:jc w:val="both"/>
        <w:rPr>
          <w:rStyle w:val="A20"/>
          <w:rFonts w:cs="Times New Roman"/>
          <w:sz w:val="24"/>
          <w:szCs w:val="24"/>
        </w:rPr>
      </w:pPr>
      <w:r w:rsidRPr="00471AB4">
        <w:rPr>
          <w:rStyle w:val="A20"/>
          <w:rFonts w:cs="Times New Roman"/>
          <w:sz w:val="24"/>
          <w:szCs w:val="24"/>
        </w:rPr>
        <w:t>Усилен</w:t>
      </w:r>
      <w:r w:rsidRPr="00471AB4">
        <w:rPr>
          <w:rStyle w:val="A90"/>
          <w:rFonts w:cs="Times New Roman"/>
          <w:sz w:val="24"/>
          <w:szCs w:val="24"/>
        </w:rPr>
        <w:t xml:space="preserve">  </w:t>
      </w:r>
      <w:r w:rsidRPr="00471AB4">
        <w:rPr>
          <w:rStyle w:val="A20"/>
          <w:rFonts w:cs="Times New Roman"/>
          <w:sz w:val="24"/>
          <w:szCs w:val="24"/>
        </w:rPr>
        <w:t>контроль за операциями, связанны</w:t>
      </w:r>
      <w:r w:rsidRPr="00471AB4">
        <w:rPr>
          <w:rStyle w:val="A20"/>
          <w:rFonts w:cs="Times New Roman"/>
          <w:sz w:val="24"/>
          <w:szCs w:val="24"/>
        </w:rPr>
        <w:softHyphen/>
        <w:t>ми с выплатой юридическим лицом страхо</w:t>
      </w:r>
      <w:r w:rsidRPr="00471AB4">
        <w:rPr>
          <w:rStyle w:val="A20"/>
          <w:rFonts w:cs="Times New Roman"/>
          <w:sz w:val="24"/>
          <w:szCs w:val="24"/>
        </w:rPr>
        <w:softHyphen/>
        <w:t>вого возмещения или получением от юриди</w:t>
      </w:r>
      <w:r w:rsidRPr="00471AB4">
        <w:rPr>
          <w:rStyle w:val="A20"/>
          <w:rFonts w:cs="Times New Roman"/>
          <w:sz w:val="24"/>
          <w:szCs w:val="24"/>
        </w:rPr>
        <w:softHyphen/>
        <w:t>ческого лица страховой премии;</w:t>
      </w:r>
    </w:p>
    <w:p w14:paraId="56D0D891" w14:textId="77C59AB3" w:rsidR="00FC16DE" w:rsidRPr="00471AB4" w:rsidRDefault="00FC16DE" w:rsidP="002C62C4">
      <w:pPr>
        <w:pStyle w:val="a3"/>
        <w:numPr>
          <w:ilvl w:val="0"/>
          <w:numId w:val="12"/>
        </w:numPr>
        <w:autoSpaceDE w:val="0"/>
        <w:autoSpaceDN w:val="0"/>
        <w:adjustRightInd w:val="0"/>
        <w:ind w:left="1324"/>
        <w:jc w:val="both"/>
        <w:rPr>
          <w:rStyle w:val="A20"/>
          <w:rFonts w:cs="Times New Roman"/>
          <w:sz w:val="24"/>
          <w:szCs w:val="24"/>
        </w:rPr>
      </w:pPr>
      <w:r w:rsidRPr="00471AB4">
        <w:rPr>
          <w:rStyle w:val="A20"/>
          <w:rFonts w:cs="Times New Roman"/>
          <w:sz w:val="24"/>
          <w:szCs w:val="24"/>
        </w:rPr>
        <w:t>Определен порядок</w:t>
      </w:r>
      <w:r w:rsidRPr="00471AB4">
        <w:rPr>
          <w:rStyle w:val="A90"/>
          <w:rFonts w:cs="Times New Roman"/>
          <w:sz w:val="24"/>
          <w:szCs w:val="24"/>
        </w:rPr>
        <w:t xml:space="preserve"> </w:t>
      </w:r>
      <w:r w:rsidRPr="00471AB4">
        <w:rPr>
          <w:rStyle w:val="A20"/>
          <w:rFonts w:cs="Times New Roman"/>
          <w:sz w:val="24"/>
          <w:szCs w:val="24"/>
        </w:rPr>
        <w:t>допуска и деятельности на россий</w:t>
      </w:r>
      <w:r w:rsidRPr="00471AB4">
        <w:rPr>
          <w:rStyle w:val="A20"/>
          <w:rFonts w:cs="Times New Roman"/>
          <w:sz w:val="24"/>
          <w:szCs w:val="24"/>
        </w:rPr>
        <w:softHyphen/>
        <w:t>ском страховом рынке иностранных страхо</w:t>
      </w:r>
      <w:r w:rsidRPr="00471AB4">
        <w:rPr>
          <w:rStyle w:val="A20"/>
          <w:rFonts w:cs="Times New Roman"/>
          <w:sz w:val="24"/>
          <w:szCs w:val="24"/>
        </w:rPr>
        <w:softHyphen/>
        <w:t>вых организаций;</w:t>
      </w:r>
    </w:p>
    <w:p w14:paraId="7ACB6F36" w14:textId="77777777" w:rsidR="00FC16DE" w:rsidRPr="00471AB4" w:rsidRDefault="00FC16DE" w:rsidP="002C62C4">
      <w:pPr>
        <w:pStyle w:val="a3"/>
        <w:numPr>
          <w:ilvl w:val="0"/>
          <w:numId w:val="12"/>
        </w:numPr>
        <w:autoSpaceDE w:val="0"/>
        <w:autoSpaceDN w:val="0"/>
        <w:adjustRightInd w:val="0"/>
        <w:ind w:left="1324"/>
        <w:jc w:val="both"/>
        <w:rPr>
          <w:rStyle w:val="A20"/>
          <w:rFonts w:cs="Times New Roman"/>
          <w:sz w:val="24"/>
          <w:szCs w:val="24"/>
        </w:rPr>
      </w:pPr>
      <w:r w:rsidRPr="00471AB4">
        <w:rPr>
          <w:rStyle w:val="A20"/>
          <w:rFonts w:cs="Times New Roman"/>
          <w:sz w:val="24"/>
          <w:szCs w:val="24"/>
        </w:rPr>
        <w:t>Расширен</w:t>
      </w:r>
      <w:r w:rsidRPr="00471AB4">
        <w:rPr>
          <w:rStyle w:val="A90"/>
          <w:rFonts w:cs="Times New Roman"/>
          <w:sz w:val="24"/>
          <w:szCs w:val="24"/>
        </w:rPr>
        <w:t xml:space="preserve">  </w:t>
      </w:r>
      <w:r w:rsidRPr="00471AB4">
        <w:rPr>
          <w:rStyle w:val="A20"/>
          <w:rFonts w:cs="Times New Roman"/>
          <w:sz w:val="24"/>
          <w:szCs w:val="24"/>
        </w:rPr>
        <w:t>перечень признаков, указываю</w:t>
      </w:r>
      <w:r w:rsidRPr="00471AB4">
        <w:rPr>
          <w:rStyle w:val="A20"/>
          <w:rFonts w:cs="Times New Roman"/>
          <w:sz w:val="24"/>
          <w:szCs w:val="24"/>
        </w:rPr>
        <w:softHyphen/>
        <w:t>щих на необычный характер операции (сдел</w:t>
      </w:r>
      <w:r w:rsidRPr="00471AB4">
        <w:rPr>
          <w:rStyle w:val="A20"/>
          <w:rFonts w:cs="Times New Roman"/>
          <w:sz w:val="24"/>
          <w:szCs w:val="24"/>
        </w:rPr>
        <w:softHyphen/>
        <w:t>ки), в том числе за счет дополнения призна</w:t>
      </w:r>
      <w:r w:rsidRPr="00471AB4">
        <w:rPr>
          <w:rStyle w:val="A20"/>
          <w:rFonts w:cs="Times New Roman"/>
          <w:sz w:val="24"/>
          <w:szCs w:val="24"/>
        </w:rPr>
        <w:softHyphen/>
        <w:t>ками осуществления регулярного получения страховых выплат (страховых возмещений) третьим лицом и последующего снятия этих денежных средств в наличной форме;</w:t>
      </w:r>
    </w:p>
    <w:p w14:paraId="5F52AF93" w14:textId="77777777" w:rsidR="005B7527" w:rsidRPr="00471AB4" w:rsidRDefault="00FC16DE" w:rsidP="002C62C4">
      <w:pPr>
        <w:pStyle w:val="a3"/>
        <w:numPr>
          <w:ilvl w:val="0"/>
          <w:numId w:val="12"/>
        </w:numPr>
        <w:autoSpaceDE w:val="0"/>
        <w:autoSpaceDN w:val="0"/>
        <w:adjustRightInd w:val="0"/>
        <w:ind w:left="1324"/>
        <w:jc w:val="both"/>
        <w:rPr>
          <w:rStyle w:val="A20"/>
          <w:rFonts w:cs="Times New Roman"/>
          <w:sz w:val="24"/>
          <w:szCs w:val="24"/>
        </w:rPr>
      </w:pPr>
      <w:r w:rsidRPr="00471AB4">
        <w:rPr>
          <w:rStyle w:val="A20"/>
          <w:rFonts w:cs="Times New Roman"/>
          <w:sz w:val="24"/>
          <w:szCs w:val="24"/>
        </w:rPr>
        <w:t>Установлен запрет</w:t>
      </w:r>
      <w:r w:rsidR="005B7527" w:rsidRPr="00471AB4">
        <w:t xml:space="preserve"> </w:t>
      </w:r>
      <w:r w:rsidR="005B7527" w:rsidRPr="00471AB4">
        <w:rPr>
          <w:rStyle w:val="A20"/>
          <w:rFonts w:cs="Times New Roman"/>
          <w:sz w:val="24"/>
          <w:szCs w:val="24"/>
        </w:rPr>
        <w:t>на проведение упрощен</w:t>
      </w:r>
      <w:r w:rsidR="005B7527" w:rsidRPr="00471AB4">
        <w:rPr>
          <w:rStyle w:val="A20"/>
          <w:rFonts w:cs="Times New Roman"/>
          <w:sz w:val="24"/>
          <w:szCs w:val="24"/>
        </w:rPr>
        <w:softHyphen/>
        <w:t>ной идентификации клиента - физического лица в отношении договора страхования, в частности договора страхования жизни на случай смерти, дожития до определенного возраста или срока либо наступления ино</w:t>
      </w:r>
      <w:r w:rsidR="005B7527" w:rsidRPr="00471AB4">
        <w:rPr>
          <w:rStyle w:val="A20"/>
          <w:rFonts w:cs="Times New Roman"/>
          <w:sz w:val="24"/>
          <w:szCs w:val="24"/>
        </w:rPr>
        <w:softHyphen/>
        <w:t>го события, договора страхования жизни с условием периодических страховых выплат (ренты, аннуитетов) и (или) с участием стра</w:t>
      </w:r>
      <w:r w:rsidR="005B7527" w:rsidRPr="00471AB4">
        <w:rPr>
          <w:rStyle w:val="A20"/>
          <w:rFonts w:cs="Times New Roman"/>
          <w:sz w:val="24"/>
          <w:szCs w:val="24"/>
        </w:rPr>
        <w:softHyphen/>
        <w:t>хователя в инвестиционном доходе страхов</w:t>
      </w:r>
      <w:r w:rsidR="005B7527" w:rsidRPr="00471AB4">
        <w:rPr>
          <w:rStyle w:val="A20"/>
          <w:rFonts w:cs="Times New Roman"/>
          <w:sz w:val="24"/>
          <w:szCs w:val="24"/>
        </w:rPr>
        <w:softHyphen/>
        <w:t>щика, договора пенсионного страхования.</w:t>
      </w:r>
    </w:p>
    <w:p w14:paraId="7267801E" w14:textId="714BC9E5" w:rsidR="00E61AE2" w:rsidRPr="00471AB4" w:rsidRDefault="00E61AE2" w:rsidP="002C62C4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2B2E33"/>
          <w:spacing w:val="-3"/>
          <w:lang w:val="ru-RU"/>
        </w:rPr>
      </w:pPr>
      <w:r w:rsidRPr="00471AB4">
        <w:rPr>
          <w:color w:val="2B2E33"/>
          <w:spacing w:val="-3"/>
          <w:shd w:val="clear" w:color="auto" w:fill="FFFFFF"/>
          <w:lang w:val="ru-RU"/>
        </w:rPr>
        <w:t>.</w:t>
      </w:r>
    </w:p>
    <w:p w14:paraId="27A7F18E" w14:textId="77777777" w:rsidR="00D60075" w:rsidRPr="00471AB4" w:rsidRDefault="00980493" w:rsidP="002C62C4">
      <w:pPr>
        <w:pStyle w:val="a3"/>
        <w:numPr>
          <w:ilvl w:val="0"/>
          <w:numId w:val="9"/>
        </w:numPr>
        <w:ind w:left="0" w:firstLine="11"/>
        <w:jc w:val="both"/>
        <w:rPr>
          <w:b/>
        </w:rPr>
      </w:pPr>
      <w:r w:rsidRPr="00471AB4">
        <w:rPr>
          <w:b/>
        </w:rPr>
        <w:t>Принятие и продолжение отношений с клиентом, изучение клиента</w:t>
      </w:r>
    </w:p>
    <w:p w14:paraId="70EA9C37" w14:textId="77777777" w:rsidR="00980493" w:rsidRPr="00471AB4" w:rsidRDefault="00980493" w:rsidP="002C62C4">
      <w:pPr>
        <w:ind w:firstLine="11"/>
        <w:jc w:val="both"/>
        <w:rPr>
          <w:b/>
        </w:rPr>
      </w:pPr>
    </w:p>
    <w:p w14:paraId="7377DCB1" w14:textId="77777777" w:rsidR="00980493" w:rsidRPr="00471AB4" w:rsidRDefault="00980493" w:rsidP="002C62C4">
      <w:pPr>
        <w:ind w:firstLine="720"/>
        <w:jc w:val="both"/>
      </w:pPr>
      <w:r w:rsidRPr="00471AB4">
        <w:t xml:space="preserve">Аудитор должен рассмотреть вопрос, является ли значимой для выявления рисков ОД/ФТ информация, полученная при выполнении аудитором процедуры принятия или продолжения отношений с клиентом. Оценка честности и деловой репутации клиента или </w:t>
      </w:r>
      <w:r w:rsidRPr="00471AB4">
        <w:lastRenderedPageBreak/>
        <w:t>потенциального клиента проводится на основании общедоступной информации (например, в сети Интернет); информации, полученной из предыдущего опыта его работы с клиентом</w:t>
      </w:r>
      <w:r w:rsidR="00AB603B" w:rsidRPr="00471AB4">
        <w:t>;</w:t>
      </w:r>
      <w:r w:rsidRPr="00471AB4">
        <w:t xml:space="preserve"> также возможно направление запросов лицам, которые, по мнению аудитора, могут владеть информацией о деловой репутации клиента.</w:t>
      </w:r>
    </w:p>
    <w:p w14:paraId="21718A68" w14:textId="77777777" w:rsidR="00797C38" w:rsidRPr="00471AB4" w:rsidRDefault="00797C38" w:rsidP="002C62C4">
      <w:pPr>
        <w:ind w:firstLine="720"/>
        <w:jc w:val="both"/>
        <w:rPr>
          <w:b/>
        </w:rPr>
      </w:pPr>
      <w:r w:rsidRPr="00471AB4">
        <w:t>Помимо предусмотренных МСА процедур до приема на обслуживание нового клиента или до начала очередного задания с ранее принятым клиентом необходимо провести процедуры по идентификации клиентов, представителей клиента, выгодоприобретателей и бенефициарных владельцев, а также необходимо проверить достоверность сведений, т.е. провести их верификацию.</w:t>
      </w:r>
    </w:p>
    <w:p w14:paraId="1BD76BC9" w14:textId="77777777" w:rsidR="001A1BB4" w:rsidRPr="00471AB4" w:rsidRDefault="001A1BB4" w:rsidP="002C62C4">
      <w:pPr>
        <w:ind w:firstLine="11"/>
        <w:jc w:val="both"/>
        <w:rPr>
          <w:b/>
        </w:rPr>
      </w:pPr>
    </w:p>
    <w:p w14:paraId="324EB3BF" w14:textId="77777777" w:rsidR="00797C38" w:rsidRPr="00471AB4" w:rsidRDefault="00797C38" w:rsidP="002C62C4">
      <w:pPr>
        <w:pStyle w:val="a3"/>
        <w:ind w:left="0" w:firstLine="720"/>
        <w:jc w:val="both"/>
      </w:pPr>
      <w:r w:rsidRPr="00471AB4">
        <w:t xml:space="preserve">Кроме того, следует убедиться, что клиент, его бенефициарные владельцы, </w:t>
      </w:r>
      <w:proofErr w:type="spellStart"/>
      <w:r w:rsidRPr="00471AB4">
        <w:t>выгодоприобритатели</w:t>
      </w:r>
      <w:proofErr w:type="spellEnd"/>
      <w:r w:rsidRPr="00471AB4">
        <w:t xml:space="preserve">, представители клиента не включены в следующие перечни в личном кабинете аудиторской организации на официальном сайте Росфинмониторинга: </w:t>
      </w:r>
    </w:p>
    <w:p w14:paraId="105262EF" w14:textId="77777777" w:rsidR="00797C38" w:rsidRPr="00471AB4" w:rsidRDefault="00797C38" w:rsidP="002C62C4">
      <w:pPr>
        <w:pStyle w:val="a3"/>
        <w:numPr>
          <w:ilvl w:val="0"/>
          <w:numId w:val="13"/>
        </w:numPr>
        <w:jc w:val="both"/>
      </w:pPr>
      <w:r w:rsidRPr="00471AB4">
        <w:t xml:space="preserve">Перечень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6F005129" w14:textId="7CEF8D0E" w:rsidR="00797C38" w:rsidRPr="00471AB4" w:rsidRDefault="00797C38" w:rsidP="002C62C4">
      <w:pPr>
        <w:pStyle w:val="a3"/>
        <w:numPr>
          <w:ilvl w:val="0"/>
          <w:numId w:val="13"/>
        </w:numPr>
        <w:jc w:val="both"/>
      </w:pPr>
      <w:r w:rsidRPr="00471AB4">
        <w:t>Перечень лиц, в отношении которых действует решение межведомственной комиссии по противодействию финансированию терроризма о замораживании (блокировании) принадлежащих им денежных средств или ино</w:t>
      </w:r>
      <w:r w:rsidR="005F1871" w:rsidRPr="00471AB4">
        <w:t>го имущества (далее – Перечни);</w:t>
      </w:r>
    </w:p>
    <w:p w14:paraId="7A368D73" w14:textId="6CC2B810" w:rsidR="001A1BB4" w:rsidRPr="00471AB4" w:rsidRDefault="005F1871" w:rsidP="002C62C4">
      <w:pPr>
        <w:pStyle w:val="a3"/>
        <w:numPr>
          <w:ilvl w:val="0"/>
          <w:numId w:val="13"/>
        </w:numPr>
        <w:jc w:val="both"/>
        <w:rPr>
          <w:b/>
        </w:rPr>
      </w:pPr>
      <w:r w:rsidRPr="00471AB4">
        <w:t>Перечнем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 или органами, специально созданными решениями Совета Безопасности ООН.</w:t>
      </w:r>
    </w:p>
    <w:p w14:paraId="051C1DF3" w14:textId="77777777" w:rsidR="005F1871" w:rsidRPr="00471AB4" w:rsidRDefault="005F1871" w:rsidP="002C62C4">
      <w:pPr>
        <w:pStyle w:val="a3"/>
        <w:ind w:left="360"/>
        <w:jc w:val="both"/>
        <w:rPr>
          <w:b/>
        </w:rPr>
      </w:pPr>
    </w:p>
    <w:p w14:paraId="5D25F23A" w14:textId="40C4C39A" w:rsidR="001A1BB4" w:rsidRPr="00471AB4" w:rsidRDefault="00797C38" w:rsidP="002C62C4">
      <w:pPr>
        <w:pStyle w:val="a3"/>
        <w:numPr>
          <w:ilvl w:val="0"/>
          <w:numId w:val="9"/>
        </w:numPr>
        <w:ind w:left="0" w:firstLine="11"/>
        <w:jc w:val="both"/>
        <w:rPr>
          <w:b/>
        </w:rPr>
      </w:pPr>
      <w:r w:rsidRPr="00471AB4">
        <w:rPr>
          <w:b/>
        </w:rPr>
        <w:t xml:space="preserve">Характер и объем понимания </w:t>
      </w:r>
      <w:r w:rsidR="00F74C30" w:rsidRPr="00471AB4">
        <w:rPr>
          <w:b/>
        </w:rPr>
        <w:t>системы</w:t>
      </w:r>
      <w:r w:rsidRPr="00471AB4">
        <w:rPr>
          <w:b/>
        </w:rPr>
        <w:t xml:space="preserve"> контроля</w:t>
      </w:r>
    </w:p>
    <w:p w14:paraId="5790B2BA" w14:textId="77777777" w:rsidR="00425D20" w:rsidRPr="00471AB4" w:rsidRDefault="00425D20" w:rsidP="002C62C4">
      <w:pPr>
        <w:pStyle w:val="a3"/>
        <w:ind w:left="0" w:firstLine="11"/>
        <w:jc w:val="both"/>
        <w:rPr>
          <w:b/>
        </w:rPr>
      </w:pPr>
    </w:p>
    <w:p w14:paraId="7ED847D9" w14:textId="1E9A5FF9" w:rsidR="00A348A3" w:rsidRPr="00471AB4" w:rsidRDefault="00A348A3" w:rsidP="002C62C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1AB4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принципами и целями организации в </w:t>
      </w:r>
      <w:r w:rsidR="004A15D5" w:rsidRPr="00471AB4">
        <w:rPr>
          <w:rFonts w:ascii="Times New Roman" w:hAnsi="Times New Roman" w:cs="Times New Roman"/>
          <w:sz w:val="24"/>
          <w:szCs w:val="24"/>
          <w:lang w:val="ru-RU"/>
        </w:rPr>
        <w:t>страхово</w:t>
      </w:r>
      <w:r w:rsidRPr="00471AB4">
        <w:rPr>
          <w:rFonts w:ascii="Times New Roman" w:hAnsi="Times New Roman" w:cs="Times New Roman"/>
          <w:sz w:val="24"/>
          <w:szCs w:val="24"/>
          <w:lang w:val="ru-RU"/>
        </w:rPr>
        <w:t>й организации внутреннего контроля в целях противодействия легализации (отмыванию) доходов</w:t>
      </w:r>
      <w:r w:rsidR="00A85041" w:rsidRPr="00471AB4">
        <w:rPr>
          <w:rFonts w:ascii="Times New Roman" w:hAnsi="Times New Roman" w:cs="Times New Roman"/>
          <w:sz w:val="24"/>
          <w:szCs w:val="24"/>
          <w:lang w:val="ru-RU"/>
        </w:rPr>
        <w:t xml:space="preserve">, полученных преступным путем,  </w:t>
      </w:r>
      <w:r w:rsidRPr="00471AB4">
        <w:rPr>
          <w:rFonts w:ascii="Times New Roman" w:hAnsi="Times New Roman" w:cs="Times New Roman"/>
          <w:sz w:val="24"/>
          <w:szCs w:val="24"/>
          <w:lang w:val="ru-RU"/>
        </w:rPr>
        <w:t xml:space="preserve"> финансированию терроризма</w:t>
      </w:r>
      <w:r w:rsidR="00A85041" w:rsidRPr="00471AB4">
        <w:rPr>
          <w:rFonts w:ascii="Times New Roman" w:hAnsi="Times New Roman" w:cs="Times New Roman"/>
          <w:sz w:val="24"/>
          <w:szCs w:val="24"/>
          <w:lang w:val="ru-RU"/>
        </w:rPr>
        <w:t xml:space="preserve"> и распространению оружия массового уничтожения</w:t>
      </w:r>
      <w:r w:rsidRPr="00471AB4">
        <w:rPr>
          <w:rFonts w:ascii="Times New Roman" w:hAnsi="Times New Roman" w:cs="Times New Roman"/>
          <w:sz w:val="24"/>
          <w:szCs w:val="24"/>
          <w:lang w:val="ru-RU"/>
        </w:rPr>
        <w:t xml:space="preserve"> (далее - ПОД/ФТ</w:t>
      </w:r>
      <w:r w:rsidR="00A85041" w:rsidRPr="00471AB4">
        <w:rPr>
          <w:rFonts w:ascii="Times New Roman" w:hAnsi="Times New Roman" w:cs="Times New Roman"/>
          <w:sz w:val="24"/>
          <w:szCs w:val="24"/>
          <w:lang w:val="ru-RU"/>
        </w:rPr>
        <w:t>/ФРОМУ</w:t>
      </w:r>
      <w:r w:rsidRPr="00471AB4">
        <w:rPr>
          <w:rFonts w:ascii="Times New Roman" w:hAnsi="Times New Roman" w:cs="Times New Roman"/>
          <w:sz w:val="24"/>
          <w:szCs w:val="24"/>
          <w:lang w:val="ru-RU"/>
        </w:rPr>
        <w:t>) являются:</w:t>
      </w:r>
    </w:p>
    <w:p w14:paraId="4A493FD9" w14:textId="4ECEFBE0" w:rsidR="00A348A3" w:rsidRPr="00471AB4" w:rsidRDefault="004A15D5" w:rsidP="002C62C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1AB4">
        <w:rPr>
          <w:rFonts w:ascii="Times New Roman" w:hAnsi="Times New Roman" w:cs="Times New Roman"/>
          <w:sz w:val="24"/>
          <w:szCs w:val="24"/>
          <w:lang w:val="ru-RU"/>
        </w:rPr>
        <w:t>обеспечение защиты страхов</w:t>
      </w:r>
      <w:r w:rsidR="00A348A3" w:rsidRPr="00471AB4">
        <w:rPr>
          <w:rFonts w:ascii="Times New Roman" w:hAnsi="Times New Roman" w:cs="Times New Roman"/>
          <w:sz w:val="24"/>
          <w:szCs w:val="24"/>
          <w:lang w:val="ru-RU"/>
        </w:rPr>
        <w:t>ой организации от проникновения в нее преступных доходов;</w:t>
      </w:r>
    </w:p>
    <w:p w14:paraId="772356F3" w14:textId="77777777" w:rsidR="00A348A3" w:rsidRPr="00471AB4" w:rsidRDefault="00A348A3" w:rsidP="002C62C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1AB4">
        <w:rPr>
          <w:rFonts w:ascii="Times New Roman" w:hAnsi="Times New Roman" w:cs="Times New Roman"/>
          <w:sz w:val="24"/>
          <w:szCs w:val="24"/>
          <w:lang w:val="ru-RU"/>
        </w:rPr>
        <w:t>управление риском легализации (отмывания) доходов, полученных преступным путем, и финансирования терроризма в целях его минимизации;</w:t>
      </w:r>
    </w:p>
    <w:p w14:paraId="21CB906E" w14:textId="33DFFADD" w:rsidR="00A348A3" w:rsidRPr="00471AB4" w:rsidRDefault="00A348A3" w:rsidP="002C62C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1AB4">
        <w:rPr>
          <w:rFonts w:ascii="Times New Roman" w:hAnsi="Times New Roman" w:cs="Times New Roman"/>
          <w:sz w:val="24"/>
          <w:szCs w:val="24"/>
          <w:lang w:val="ru-RU"/>
        </w:rPr>
        <w:t>обеспечение независимости специального должностного лица, ответственного за соблюдение ПВК по ПОД/ФТ</w:t>
      </w:r>
      <w:r w:rsidR="00A85041" w:rsidRPr="00471AB4">
        <w:rPr>
          <w:rFonts w:ascii="Times New Roman" w:hAnsi="Times New Roman" w:cs="Times New Roman"/>
          <w:sz w:val="24"/>
          <w:szCs w:val="24"/>
          <w:lang w:val="ru-RU"/>
        </w:rPr>
        <w:t>/ФРОМУ</w:t>
      </w:r>
      <w:r w:rsidRPr="00471AB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9709206" w14:textId="4DCE3AD3" w:rsidR="00A348A3" w:rsidRPr="00471AB4" w:rsidRDefault="00A348A3" w:rsidP="002C62C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1AB4">
        <w:rPr>
          <w:rFonts w:ascii="Times New Roman" w:hAnsi="Times New Roman" w:cs="Times New Roman"/>
          <w:sz w:val="24"/>
          <w:szCs w:val="24"/>
          <w:lang w:val="ru-RU"/>
        </w:rPr>
        <w:t>участие сотрудников подразделения, ответственного за организацию системы ПОД/ФТ</w:t>
      </w:r>
      <w:r w:rsidR="00A85041" w:rsidRPr="00471AB4">
        <w:rPr>
          <w:rFonts w:ascii="Times New Roman" w:hAnsi="Times New Roman" w:cs="Times New Roman"/>
          <w:sz w:val="24"/>
          <w:szCs w:val="24"/>
          <w:lang w:val="ru-RU"/>
        </w:rPr>
        <w:t>/ФРОМУ</w:t>
      </w:r>
      <w:r w:rsidRPr="00471AB4">
        <w:rPr>
          <w:rFonts w:ascii="Times New Roman" w:hAnsi="Times New Roman" w:cs="Times New Roman"/>
          <w:sz w:val="24"/>
          <w:szCs w:val="24"/>
          <w:lang w:val="ru-RU"/>
        </w:rPr>
        <w:t xml:space="preserve"> и реализацию ПВК </w:t>
      </w:r>
      <w:r w:rsidR="004A15D5" w:rsidRPr="00471AB4">
        <w:rPr>
          <w:rFonts w:ascii="Times New Roman" w:hAnsi="Times New Roman" w:cs="Times New Roman"/>
          <w:sz w:val="24"/>
          <w:szCs w:val="24"/>
          <w:lang w:val="ru-RU"/>
        </w:rPr>
        <w:t>по ПОД/ФТ</w:t>
      </w:r>
      <w:r w:rsidR="00A85041" w:rsidRPr="00471AB4">
        <w:rPr>
          <w:rFonts w:ascii="Times New Roman" w:hAnsi="Times New Roman" w:cs="Times New Roman"/>
          <w:sz w:val="24"/>
          <w:szCs w:val="24"/>
          <w:lang w:val="ru-RU"/>
        </w:rPr>
        <w:t>/ФРОМУ</w:t>
      </w:r>
      <w:r w:rsidR="004A15D5" w:rsidRPr="00471AB4">
        <w:rPr>
          <w:rFonts w:ascii="Times New Roman" w:hAnsi="Times New Roman" w:cs="Times New Roman"/>
          <w:sz w:val="24"/>
          <w:szCs w:val="24"/>
          <w:lang w:val="ru-RU"/>
        </w:rPr>
        <w:t>, подразделений страхов</w:t>
      </w:r>
      <w:r w:rsidRPr="00471AB4">
        <w:rPr>
          <w:rFonts w:ascii="Times New Roman" w:hAnsi="Times New Roman" w:cs="Times New Roman"/>
          <w:sz w:val="24"/>
          <w:szCs w:val="24"/>
          <w:lang w:val="ru-RU"/>
        </w:rPr>
        <w:t xml:space="preserve">ой организации, участвующих в осуществлении </w:t>
      </w:r>
      <w:r w:rsidR="004A15D5" w:rsidRPr="00471AB4">
        <w:rPr>
          <w:rFonts w:ascii="Times New Roman" w:hAnsi="Times New Roman" w:cs="Times New Roman"/>
          <w:sz w:val="24"/>
          <w:szCs w:val="24"/>
          <w:lang w:val="ru-RU"/>
        </w:rPr>
        <w:t>страховой деятельности</w:t>
      </w:r>
      <w:r w:rsidRPr="00471AB4">
        <w:rPr>
          <w:rFonts w:ascii="Times New Roman" w:hAnsi="Times New Roman" w:cs="Times New Roman"/>
          <w:sz w:val="24"/>
          <w:szCs w:val="24"/>
          <w:lang w:val="ru-RU"/>
        </w:rPr>
        <w:t xml:space="preserve">, юридического подразделения, подразделения безопасности, службы внутреннего аудита, службы внутреннего контроля </w:t>
      </w:r>
      <w:r w:rsidR="004A15D5" w:rsidRPr="00471AB4">
        <w:rPr>
          <w:rFonts w:ascii="Times New Roman" w:hAnsi="Times New Roman" w:cs="Times New Roman"/>
          <w:sz w:val="24"/>
          <w:szCs w:val="24"/>
          <w:lang w:val="ru-RU"/>
        </w:rPr>
        <w:t>страховой</w:t>
      </w:r>
      <w:r w:rsidRPr="00471AB4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независимо от занимаемой должности в рамках их компетенции в выявлении операций, подлежащих обязательному контролю, и операций,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терроризма.</w:t>
      </w:r>
    </w:p>
    <w:p w14:paraId="342CEB13" w14:textId="77777777" w:rsidR="00A348A3" w:rsidRPr="00471AB4" w:rsidRDefault="00A348A3" w:rsidP="002C62C4">
      <w:pPr>
        <w:ind w:firstLine="11"/>
        <w:jc w:val="both"/>
      </w:pPr>
    </w:p>
    <w:p w14:paraId="2D7BACD2" w14:textId="231603BE" w:rsidR="00B91CF5" w:rsidRPr="00471AB4" w:rsidRDefault="00B91CF5" w:rsidP="002C62C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71AB4">
        <w:rPr>
          <w:rFonts w:eastAsiaTheme="minorHAnsi"/>
          <w:lang w:eastAsia="en-US"/>
        </w:rPr>
        <w:t>Риск-ориентированный подход в целях ПОД/ФТ</w:t>
      </w:r>
      <w:r w:rsidR="00A85041" w:rsidRPr="00471AB4">
        <w:t>/ФРОМУ</w:t>
      </w:r>
      <w:r w:rsidRPr="00471AB4">
        <w:rPr>
          <w:rFonts w:eastAsiaTheme="minorHAnsi"/>
          <w:lang w:eastAsia="en-US"/>
        </w:rPr>
        <w:t xml:space="preserve"> является основой Международных стандартов по противодействию отмыванию денег, финансированию </w:t>
      </w:r>
      <w:r w:rsidRPr="00471AB4">
        <w:rPr>
          <w:rFonts w:eastAsiaTheme="minorHAnsi"/>
          <w:lang w:eastAsia="en-US"/>
        </w:rPr>
        <w:lastRenderedPageBreak/>
        <w:t>терроризма и финансированию распространения оружия массового уничтожения Группы разработки финансовых мер борьбы с отмыванием денег (ФАТФ).</w:t>
      </w:r>
    </w:p>
    <w:p w14:paraId="3C01D601" w14:textId="77777777" w:rsidR="00B91CF5" w:rsidRPr="00471AB4" w:rsidRDefault="00B91CF5" w:rsidP="002C62C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14:paraId="7C18C2F1" w14:textId="61E8D35F" w:rsidR="00353E0F" w:rsidRPr="00471AB4" w:rsidRDefault="00353E0F" w:rsidP="002C62C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71AB4">
        <w:rPr>
          <w:rFonts w:eastAsiaTheme="minorHAnsi"/>
          <w:lang w:eastAsia="en-US"/>
        </w:rPr>
        <w:t>Характер, сроки и объем аудиторских процедур определяется с учетом и в ответ на оцененные риски существенного искажения на уровне предпосылок подготовки бухгалтерской (финансовой) отчетности.</w:t>
      </w:r>
    </w:p>
    <w:p w14:paraId="0237D793" w14:textId="77777777" w:rsidR="00B91CF5" w:rsidRPr="00471AB4" w:rsidRDefault="00B91CF5" w:rsidP="002C62C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14:paraId="5BBF64FE" w14:textId="50F53067" w:rsidR="00353E0F" w:rsidRPr="00471AB4" w:rsidRDefault="00353E0F" w:rsidP="002C62C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71AB4">
        <w:rPr>
          <w:rFonts w:eastAsiaTheme="minorHAnsi"/>
          <w:lang w:eastAsia="en-US"/>
        </w:rPr>
        <w:t xml:space="preserve">Соблюдение законодательных требований в области </w:t>
      </w:r>
      <w:r w:rsidR="00B91CF5" w:rsidRPr="00471AB4">
        <w:rPr>
          <w:rFonts w:eastAsiaTheme="minorHAnsi"/>
          <w:lang w:eastAsia="en-US"/>
        </w:rPr>
        <w:t>ПОД/ФТ</w:t>
      </w:r>
      <w:r w:rsidR="00A85041" w:rsidRPr="00471AB4">
        <w:rPr>
          <w:rFonts w:eastAsiaTheme="minorHAnsi"/>
          <w:lang w:eastAsia="en-US"/>
        </w:rPr>
        <w:t>/ФРОМУ</w:t>
      </w:r>
      <w:r w:rsidR="00B91CF5" w:rsidRPr="00471AB4">
        <w:rPr>
          <w:rFonts w:eastAsiaTheme="minorHAnsi"/>
          <w:lang w:eastAsia="en-US"/>
        </w:rPr>
        <w:t>,</w:t>
      </w:r>
      <w:r w:rsidRPr="00471AB4">
        <w:rPr>
          <w:rFonts w:eastAsiaTheme="minorHAnsi"/>
          <w:lang w:eastAsia="en-US"/>
        </w:rPr>
        <w:t xml:space="preserve"> </w:t>
      </w:r>
      <w:r w:rsidR="00B91CF5" w:rsidRPr="00471AB4">
        <w:rPr>
          <w:rFonts w:eastAsiaTheme="minorHAnsi"/>
          <w:lang w:eastAsia="en-US"/>
        </w:rPr>
        <w:t>к</w:t>
      </w:r>
      <w:r w:rsidRPr="00471AB4">
        <w:rPr>
          <w:rFonts w:eastAsiaTheme="minorHAnsi"/>
          <w:lang w:eastAsia="en-US"/>
        </w:rPr>
        <w:t xml:space="preserve">ак правило, является областями наиболее высокого риска в </w:t>
      </w:r>
      <w:r w:rsidR="004A15D5" w:rsidRPr="00471AB4">
        <w:rPr>
          <w:rFonts w:eastAsiaTheme="minorHAnsi"/>
          <w:lang w:eastAsia="en-US"/>
        </w:rPr>
        <w:t>страхов</w:t>
      </w:r>
      <w:r w:rsidRPr="00471AB4">
        <w:rPr>
          <w:rFonts w:eastAsiaTheme="minorHAnsi"/>
          <w:lang w:eastAsia="en-US"/>
        </w:rPr>
        <w:t>ых организациях</w:t>
      </w:r>
      <w:r w:rsidR="00B91CF5" w:rsidRPr="00471AB4">
        <w:rPr>
          <w:rFonts w:eastAsiaTheme="minorHAnsi"/>
          <w:lang w:eastAsia="en-US"/>
        </w:rPr>
        <w:t>.</w:t>
      </w:r>
    </w:p>
    <w:p w14:paraId="24BA25D5" w14:textId="144A1255" w:rsidR="00353E0F" w:rsidRPr="00471AB4" w:rsidRDefault="00353E0F" w:rsidP="002C62C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51CE9C1" w14:textId="67BF21B4" w:rsidR="00353E0F" w:rsidRPr="00471AB4" w:rsidRDefault="00353E0F" w:rsidP="002C62C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71AB4">
        <w:rPr>
          <w:rFonts w:eastAsiaTheme="minorHAnsi"/>
          <w:lang w:eastAsia="en-US"/>
        </w:rPr>
        <w:t>В случае выявления аудиторской организацией обстоятельств в области ПОД/ФТ</w:t>
      </w:r>
      <w:r w:rsidR="00A85041" w:rsidRPr="00471AB4">
        <w:rPr>
          <w:rFonts w:eastAsiaTheme="minorHAnsi"/>
          <w:lang w:eastAsia="en-US"/>
        </w:rPr>
        <w:t>/ФРОМУ</w:t>
      </w:r>
      <w:r w:rsidR="00814025" w:rsidRPr="00471AB4">
        <w:rPr>
          <w:rFonts w:eastAsiaTheme="minorHAnsi"/>
          <w:lang w:eastAsia="en-US"/>
        </w:rPr>
        <w:t xml:space="preserve">, </w:t>
      </w:r>
      <w:r w:rsidRPr="00471AB4">
        <w:rPr>
          <w:rFonts w:eastAsiaTheme="minorHAnsi"/>
          <w:lang w:eastAsia="en-US"/>
        </w:rPr>
        <w:t xml:space="preserve">в отношении которых руководством </w:t>
      </w:r>
      <w:r w:rsidR="004A15D5" w:rsidRPr="00471AB4">
        <w:rPr>
          <w:rFonts w:eastAsiaTheme="minorHAnsi"/>
          <w:lang w:eastAsia="en-US"/>
        </w:rPr>
        <w:t>страхов</w:t>
      </w:r>
      <w:r w:rsidRPr="00471AB4">
        <w:rPr>
          <w:rFonts w:eastAsiaTheme="minorHAnsi"/>
          <w:lang w:eastAsia="en-US"/>
        </w:rPr>
        <w:t xml:space="preserve">ой организации не предоставлены надлежащие достаточные разъяснения, выполняются дополнительные аудиторские процедуры. </w:t>
      </w:r>
    </w:p>
    <w:p w14:paraId="13189D85" w14:textId="77777777" w:rsidR="00353E0F" w:rsidRPr="00471AB4" w:rsidRDefault="00353E0F" w:rsidP="002C62C4">
      <w:pPr>
        <w:ind w:firstLine="11"/>
        <w:jc w:val="both"/>
      </w:pPr>
    </w:p>
    <w:p w14:paraId="60869020" w14:textId="0D176D6D" w:rsidR="00AA3D38" w:rsidRPr="00471AB4" w:rsidRDefault="00AA3D38" w:rsidP="002C62C4">
      <w:pPr>
        <w:ind w:firstLine="720"/>
        <w:jc w:val="both"/>
      </w:pPr>
      <w:r w:rsidRPr="00471AB4">
        <w:t xml:space="preserve">При проведении аудиторской проверки аудиторам необходимо </w:t>
      </w:r>
      <w:r w:rsidR="00D47734" w:rsidRPr="00471AB4">
        <w:t>дополнительно проверить выполняе</w:t>
      </w:r>
      <w:r w:rsidRPr="00471AB4">
        <w:t xml:space="preserve">т ли </w:t>
      </w:r>
      <w:r w:rsidR="004A15D5" w:rsidRPr="00471AB4">
        <w:t>страховая</w:t>
      </w:r>
      <w:r w:rsidR="00A348A3" w:rsidRPr="00471AB4">
        <w:t xml:space="preserve"> организация</w:t>
      </w:r>
      <w:r w:rsidRPr="00471AB4">
        <w:t xml:space="preserve"> </w:t>
      </w:r>
      <w:r w:rsidR="00D47734" w:rsidRPr="00471AB4">
        <w:t>следующие требования</w:t>
      </w:r>
      <w:r w:rsidR="005B03CB" w:rsidRPr="00471AB4">
        <w:t xml:space="preserve"> в области ПОД/ФТ</w:t>
      </w:r>
      <w:r w:rsidR="000B0AC8" w:rsidRPr="00471AB4">
        <w:t>/ФРОМУ</w:t>
      </w:r>
      <w:r w:rsidRPr="00471AB4">
        <w:t xml:space="preserve">: </w:t>
      </w:r>
    </w:p>
    <w:p w14:paraId="255415FC" w14:textId="393F80A9" w:rsidR="00AA3D38" w:rsidRPr="00471AB4" w:rsidRDefault="00D47734" w:rsidP="002C62C4">
      <w:pPr>
        <w:pStyle w:val="a3"/>
        <w:numPr>
          <w:ilvl w:val="0"/>
          <w:numId w:val="15"/>
        </w:numPr>
        <w:jc w:val="both"/>
      </w:pPr>
      <w:r w:rsidRPr="00471AB4">
        <w:t xml:space="preserve">в </w:t>
      </w:r>
      <w:r w:rsidR="004A15D5" w:rsidRPr="00471AB4">
        <w:t>страховой</w:t>
      </w:r>
      <w:r w:rsidR="00A348A3" w:rsidRPr="00471AB4">
        <w:t xml:space="preserve"> организации </w:t>
      </w:r>
      <w:r w:rsidRPr="00471AB4">
        <w:t>разработаны и внедрены</w:t>
      </w:r>
      <w:r w:rsidR="00A348A3" w:rsidRPr="00471AB4">
        <w:t xml:space="preserve"> правила</w:t>
      </w:r>
      <w:r w:rsidR="00AA3D38" w:rsidRPr="00471AB4">
        <w:t xml:space="preserve"> внутреннего контроля</w:t>
      </w:r>
      <w:r w:rsidRPr="00471AB4">
        <w:t xml:space="preserve"> по ПОД/ФТ</w:t>
      </w:r>
      <w:r w:rsidR="000B0AC8" w:rsidRPr="00471AB4">
        <w:t>/ФРОМУ</w:t>
      </w:r>
      <w:r w:rsidR="00AA3D38" w:rsidRPr="00471AB4">
        <w:t xml:space="preserve">; </w:t>
      </w:r>
    </w:p>
    <w:p w14:paraId="683DFA97" w14:textId="0C5F5D9F" w:rsidR="00B91CF5" w:rsidRPr="00471AB4" w:rsidRDefault="00A348A3" w:rsidP="002C62C4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Style w:val="A20"/>
          <w:rFonts w:cs="Times New Roman"/>
          <w:sz w:val="24"/>
          <w:szCs w:val="24"/>
        </w:rPr>
      </w:pPr>
      <w:r w:rsidRPr="00471AB4">
        <w:t xml:space="preserve">правила внутреннего контроля </w:t>
      </w:r>
      <w:r w:rsidR="004560AF" w:rsidRPr="00471AB4">
        <w:t>соответствуют действующим в данный момен</w:t>
      </w:r>
      <w:r w:rsidR="00B91CF5" w:rsidRPr="00471AB4">
        <w:t>т регуляторным требованиям Банка России (</w:t>
      </w:r>
      <w:r w:rsidR="00B91CF5" w:rsidRPr="00471AB4">
        <w:rPr>
          <w:rStyle w:val="A20"/>
          <w:rFonts w:cs="Times New Roman"/>
          <w:sz w:val="24"/>
          <w:szCs w:val="24"/>
        </w:rPr>
        <w:t xml:space="preserve">Положению Банка России от </w:t>
      </w:r>
      <w:r w:rsidR="00814025" w:rsidRPr="00471AB4">
        <w:rPr>
          <w:rStyle w:val="A20"/>
          <w:rFonts w:cs="Times New Roman"/>
          <w:sz w:val="24"/>
          <w:szCs w:val="24"/>
        </w:rPr>
        <w:t>15 декабря 2014 г. № 445</w:t>
      </w:r>
      <w:r w:rsidR="00B91CF5" w:rsidRPr="00471AB4">
        <w:rPr>
          <w:rStyle w:val="A20"/>
          <w:rFonts w:cs="Times New Roman"/>
          <w:sz w:val="24"/>
          <w:szCs w:val="24"/>
        </w:rPr>
        <w:t xml:space="preserve">-П «О требованиях к правилам внутреннего контроля </w:t>
      </w:r>
      <w:r w:rsidR="00814025" w:rsidRPr="00471AB4">
        <w:rPr>
          <w:rStyle w:val="A20"/>
          <w:rFonts w:cs="Times New Roman"/>
          <w:sz w:val="24"/>
          <w:szCs w:val="24"/>
        </w:rPr>
        <w:t>некредитных финансовых организаций</w:t>
      </w:r>
      <w:r w:rsidR="00B91CF5" w:rsidRPr="00471AB4">
        <w:rPr>
          <w:rStyle w:val="A20"/>
          <w:rFonts w:cs="Times New Roman"/>
          <w:sz w:val="24"/>
          <w:szCs w:val="24"/>
        </w:rPr>
        <w:t xml:space="preserve"> в целях противодействия легализации (отмыванию) доходов, полученных преступным путем, и финансированию терроризма» (с последующими изменениями и дополнениями)); </w:t>
      </w:r>
    </w:p>
    <w:p w14:paraId="25DC2FC7" w14:textId="6BE59740" w:rsidR="00AA3D38" w:rsidRPr="00471AB4" w:rsidRDefault="00814025" w:rsidP="002C62C4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</w:pPr>
      <w:r w:rsidRPr="00471AB4">
        <w:rPr>
          <w:b/>
          <w:bCs/>
        </w:rPr>
        <w:t xml:space="preserve"> </w:t>
      </w:r>
      <w:r w:rsidR="00AA3D38" w:rsidRPr="00471AB4">
        <w:t>назнач</w:t>
      </w:r>
      <w:r w:rsidR="00D47734" w:rsidRPr="00471AB4">
        <w:t xml:space="preserve">ено </w:t>
      </w:r>
      <w:r w:rsidR="00AA3D38" w:rsidRPr="00471AB4">
        <w:t>специальное должностное лицо</w:t>
      </w:r>
      <w:r w:rsidR="00A348A3" w:rsidRPr="00471AB4">
        <w:t xml:space="preserve"> (СДЛ)</w:t>
      </w:r>
      <w:r w:rsidR="00AA3D38" w:rsidRPr="00471AB4">
        <w:t xml:space="preserve">, ответственное за реализацию правил внутреннего контроля; </w:t>
      </w:r>
      <w:r w:rsidR="00A348A3" w:rsidRPr="00471AB4">
        <w:t xml:space="preserve">СДЛ соответствует квалификационным </w:t>
      </w:r>
      <w:r w:rsidR="00B91CF5" w:rsidRPr="00471AB4">
        <w:t>требованиям, установленным Банком России</w:t>
      </w:r>
      <w:r w:rsidR="00A348A3" w:rsidRPr="00471AB4">
        <w:t>;</w:t>
      </w:r>
    </w:p>
    <w:p w14:paraId="7C71681D" w14:textId="684A6BF6" w:rsidR="00A348A3" w:rsidRPr="00471AB4" w:rsidRDefault="00A348A3" w:rsidP="002C62C4">
      <w:pPr>
        <w:pStyle w:val="a3"/>
        <w:numPr>
          <w:ilvl w:val="0"/>
          <w:numId w:val="15"/>
        </w:numPr>
        <w:jc w:val="both"/>
      </w:pPr>
      <w:r w:rsidRPr="00471AB4">
        <w:t xml:space="preserve">внутренними документами </w:t>
      </w:r>
      <w:r w:rsidR="00A95BC8" w:rsidRPr="00471AB4">
        <w:t>страховой</w:t>
      </w:r>
      <w:r w:rsidRPr="00471AB4">
        <w:t xml:space="preserve"> организации, установлены права и обязанности СДЛ;</w:t>
      </w:r>
    </w:p>
    <w:p w14:paraId="0B21A6DC" w14:textId="77777777" w:rsidR="00AA3D38" w:rsidRPr="00471AB4" w:rsidRDefault="00AA3D38" w:rsidP="002C62C4">
      <w:pPr>
        <w:pStyle w:val="a3"/>
        <w:numPr>
          <w:ilvl w:val="0"/>
          <w:numId w:val="15"/>
        </w:numPr>
        <w:jc w:val="both"/>
      </w:pPr>
      <w:r w:rsidRPr="00471AB4">
        <w:t>проводит</w:t>
      </w:r>
      <w:r w:rsidR="00D47734" w:rsidRPr="00471AB4">
        <w:t xml:space="preserve">ся </w:t>
      </w:r>
      <w:r w:rsidRPr="00471AB4">
        <w:t>обучение сотрудников в целях ПОД/ФТ</w:t>
      </w:r>
      <w:r w:rsidR="000B0AC8" w:rsidRPr="00471AB4">
        <w:t>/ФРОМУ</w:t>
      </w:r>
      <w:r w:rsidRPr="00471AB4">
        <w:t xml:space="preserve"> (вводный, дополнительный, целевой инструктаж и повышение уровня знаний в сфере ПОД/ФТ</w:t>
      </w:r>
      <w:r w:rsidR="000B0AC8" w:rsidRPr="00471AB4">
        <w:t>/ФРОМУ</w:t>
      </w:r>
      <w:r w:rsidRPr="00471AB4">
        <w:t xml:space="preserve">); </w:t>
      </w:r>
    </w:p>
    <w:p w14:paraId="250AF6ED" w14:textId="77777777" w:rsidR="00AA3D38" w:rsidRPr="00471AB4" w:rsidRDefault="00D47734" w:rsidP="002C62C4">
      <w:pPr>
        <w:pStyle w:val="a3"/>
        <w:numPr>
          <w:ilvl w:val="0"/>
          <w:numId w:val="15"/>
        </w:numPr>
        <w:jc w:val="both"/>
      </w:pPr>
      <w:r w:rsidRPr="00471AB4">
        <w:t xml:space="preserve">открыт и </w:t>
      </w:r>
      <w:r w:rsidR="00AA3D38" w:rsidRPr="00471AB4">
        <w:t>используется функционал Личного кабинета, в том числе для просмотра/скачивания актуальн</w:t>
      </w:r>
      <w:r w:rsidRPr="00471AB4">
        <w:t>ых Перечней</w:t>
      </w:r>
      <w:r w:rsidR="00AA3D38" w:rsidRPr="00471AB4">
        <w:t xml:space="preserve">; </w:t>
      </w:r>
    </w:p>
    <w:p w14:paraId="30AFB3FF" w14:textId="47327811" w:rsidR="00AA3D38" w:rsidRPr="00471AB4" w:rsidRDefault="004115A2" w:rsidP="002C62C4">
      <w:pPr>
        <w:pStyle w:val="a3"/>
        <w:numPr>
          <w:ilvl w:val="0"/>
          <w:numId w:val="15"/>
        </w:numPr>
        <w:jc w:val="both"/>
      </w:pPr>
      <w:r w:rsidRPr="00471AB4">
        <w:t>внедрены и</w:t>
      </w:r>
      <w:r w:rsidR="004560AF" w:rsidRPr="00471AB4">
        <w:t xml:space="preserve"> реализуются надлежащим образом </w:t>
      </w:r>
      <w:r w:rsidR="00D47734" w:rsidRPr="00471AB4">
        <w:t>процедуры по изучению и</w:t>
      </w:r>
      <w:r w:rsidR="00AA3D38" w:rsidRPr="00471AB4">
        <w:t xml:space="preserve"> идентификаци</w:t>
      </w:r>
      <w:r w:rsidR="00D47734" w:rsidRPr="00471AB4">
        <w:t>и</w:t>
      </w:r>
      <w:r w:rsidR="00AA3D38" w:rsidRPr="00471AB4">
        <w:t xml:space="preserve"> клиентов</w:t>
      </w:r>
      <w:r w:rsidR="00D47734" w:rsidRPr="00471AB4">
        <w:t xml:space="preserve">, </w:t>
      </w:r>
      <w:r w:rsidR="00AA3D38" w:rsidRPr="00471AB4">
        <w:t>их представителей, выгодоприобрета</w:t>
      </w:r>
      <w:r w:rsidR="00D47734" w:rsidRPr="00471AB4">
        <w:t>телей, бенефициарных владельцев</w:t>
      </w:r>
      <w:r w:rsidR="00AA3D38" w:rsidRPr="00471AB4">
        <w:t xml:space="preserve">; </w:t>
      </w:r>
    </w:p>
    <w:p w14:paraId="76350355" w14:textId="6B6AB4D5" w:rsidR="00783B51" w:rsidRPr="00471AB4" w:rsidRDefault="00FA4129" w:rsidP="002C62C4">
      <w:pPr>
        <w:pStyle w:val="a3"/>
        <w:numPr>
          <w:ilvl w:val="0"/>
          <w:numId w:val="15"/>
        </w:numPr>
        <w:jc w:val="both"/>
      </w:pPr>
      <w:r w:rsidRPr="00471AB4">
        <w:t>соответствие</w:t>
      </w:r>
      <w:r w:rsidR="00783B51" w:rsidRPr="00471AB4">
        <w:t xml:space="preserve"> Программы идентификации требованиям </w:t>
      </w:r>
      <w:hyperlink r:id="rId10">
        <w:r w:rsidR="00783B51" w:rsidRPr="00471AB4">
          <w:t>Положения</w:t>
        </w:r>
      </w:hyperlink>
      <w:r w:rsidR="00A95BC8" w:rsidRPr="00471AB4">
        <w:t xml:space="preserve"> Банка России от 12 декабря 201</w:t>
      </w:r>
      <w:r w:rsidR="00B91CF5" w:rsidRPr="00471AB4">
        <w:t>4 года №</w:t>
      </w:r>
      <w:r w:rsidR="00A95BC8" w:rsidRPr="00471AB4">
        <w:t xml:space="preserve"> 444</w:t>
      </w:r>
      <w:r w:rsidR="00783B51" w:rsidRPr="00471AB4">
        <w:t xml:space="preserve">-П "Об идентификации </w:t>
      </w:r>
      <w:r w:rsidR="00A95BC8" w:rsidRPr="00471AB4">
        <w:t>не</w:t>
      </w:r>
      <w:r w:rsidR="00783B51" w:rsidRPr="00471AB4">
        <w:t>кредитными</w:t>
      </w:r>
      <w:r w:rsidR="00A95BC8" w:rsidRPr="00471AB4">
        <w:t xml:space="preserve"> финансовыми</w:t>
      </w:r>
      <w:r w:rsidR="00783B51" w:rsidRPr="00471AB4">
        <w:t xml:space="preserve"> организациями клиентов</w:t>
      </w:r>
      <w:r w:rsidR="00A95BC8" w:rsidRPr="00471AB4">
        <w:t>, представителей клиентов,</w:t>
      </w:r>
      <w:r w:rsidR="00783B51" w:rsidRPr="00471AB4">
        <w:t xml:space="preserve"> и выгодоприобретателей</w:t>
      </w:r>
      <w:r w:rsidR="00A95BC8" w:rsidRPr="00471AB4">
        <w:t>, бенефициарных владельцев</w:t>
      </w:r>
      <w:r w:rsidR="00783B51" w:rsidRPr="00471AB4">
        <w:t xml:space="preserve"> в целях противодействия легализации (отмыванию) доходов, полученных преступным путе</w:t>
      </w:r>
      <w:r w:rsidR="00B91CF5" w:rsidRPr="00471AB4">
        <w:t>м, и финансированию терроризма";</w:t>
      </w:r>
    </w:p>
    <w:p w14:paraId="5F990591" w14:textId="105D8FCA" w:rsidR="000B0AC8" w:rsidRPr="00471AB4" w:rsidRDefault="00AA3D38" w:rsidP="002C62C4">
      <w:pPr>
        <w:pStyle w:val="a3"/>
        <w:numPr>
          <w:ilvl w:val="0"/>
          <w:numId w:val="15"/>
        </w:numPr>
        <w:jc w:val="both"/>
      </w:pPr>
      <w:r w:rsidRPr="00471AB4">
        <w:t xml:space="preserve">с учетом просмотра/скачивания Перечней проводятся </w:t>
      </w:r>
      <w:r w:rsidR="004115A2" w:rsidRPr="00471AB4">
        <w:t xml:space="preserve">ли </w:t>
      </w:r>
      <w:r w:rsidRPr="00471AB4">
        <w:t xml:space="preserve">проверки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</w:t>
      </w:r>
      <w:r w:rsidRPr="00471AB4">
        <w:lastRenderedPageBreak/>
        <w:t>иного имущества, и представляются ли сведения о так</w:t>
      </w:r>
      <w:r w:rsidR="000B0AC8" w:rsidRPr="00471AB4">
        <w:t>их проверках в Росфинмониторинг;</w:t>
      </w:r>
    </w:p>
    <w:p w14:paraId="0C7773E8" w14:textId="77777777" w:rsidR="00AA3D38" w:rsidRPr="00471AB4" w:rsidRDefault="00AA3D38" w:rsidP="002C62C4">
      <w:pPr>
        <w:pStyle w:val="a3"/>
        <w:numPr>
          <w:ilvl w:val="0"/>
          <w:numId w:val="15"/>
        </w:numPr>
        <w:jc w:val="both"/>
      </w:pPr>
      <w:r w:rsidRPr="00471AB4">
        <w:t>выявляются ли операции, вызывающие подозрение на ОД/ФТ</w:t>
      </w:r>
      <w:r w:rsidR="000B0AC8" w:rsidRPr="00471AB4">
        <w:t>/ФРОМУ</w:t>
      </w:r>
      <w:r w:rsidRPr="00471AB4">
        <w:t>;</w:t>
      </w:r>
    </w:p>
    <w:p w14:paraId="5DA631CB" w14:textId="720E907E" w:rsidR="00AA3D38" w:rsidRPr="00471AB4" w:rsidRDefault="00AA3D38" w:rsidP="002C62C4">
      <w:pPr>
        <w:pStyle w:val="a3"/>
        <w:numPr>
          <w:ilvl w:val="0"/>
          <w:numId w:val="15"/>
        </w:numPr>
        <w:jc w:val="both"/>
      </w:pPr>
      <w:r w:rsidRPr="00471AB4">
        <w:t xml:space="preserve">проводятся ли </w:t>
      </w:r>
      <w:r w:rsidR="000B0AC8" w:rsidRPr="00471AB4">
        <w:t>в</w:t>
      </w:r>
      <w:r w:rsidRPr="00471AB4">
        <w:t>нутренние проверки выполнения правил внутреннего контроля и иных требований законодательства о ПОД/ФТ</w:t>
      </w:r>
      <w:r w:rsidR="000B0AC8" w:rsidRPr="00471AB4">
        <w:t>/ФРОМУ</w:t>
      </w:r>
      <w:r w:rsidR="00E61AE2" w:rsidRPr="00471AB4">
        <w:t>.</w:t>
      </w:r>
    </w:p>
    <w:p w14:paraId="33CA1FB2" w14:textId="3146DE4A" w:rsidR="00E61AE2" w:rsidRPr="00471AB4" w:rsidRDefault="00E61AE2" w:rsidP="002C62C4">
      <w:pPr>
        <w:jc w:val="both"/>
      </w:pPr>
    </w:p>
    <w:p w14:paraId="48BBFA39" w14:textId="14860F77" w:rsidR="00B91CF5" w:rsidRPr="00471AB4" w:rsidRDefault="00B91CF5" w:rsidP="002C62C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71AB4">
        <w:rPr>
          <w:rFonts w:eastAsiaTheme="minorHAnsi"/>
          <w:lang w:eastAsia="en-US"/>
        </w:rPr>
        <w:t xml:space="preserve">Для того, чтобы получить понимание аудируемой </w:t>
      </w:r>
      <w:r w:rsidR="004A15D5" w:rsidRPr="00471AB4">
        <w:rPr>
          <w:rFonts w:eastAsiaTheme="minorHAnsi"/>
          <w:lang w:eastAsia="en-US"/>
        </w:rPr>
        <w:t>страховой</w:t>
      </w:r>
      <w:r w:rsidRPr="00471AB4">
        <w:rPr>
          <w:rFonts w:eastAsiaTheme="minorHAnsi"/>
          <w:lang w:eastAsia="en-US"/>
        </w:rPr>
        <w:t xml:space="preserve"> организации и ее окружения, включая ее систему внутреннего контроля, аудиторской организации целесообразно выполнить следующие процедуры:</w:t>
      </w:r>
    </w:p>
    <w:p w14:paraId="6E7B3F9C" w14:textId="77777777" w:rsidR="00B91CF5" w:rsidRPr="00471AB4" w:rsidRDefault="00B91CF5" w:rsidP="002C62C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9443AE3" w14:textId="237257DA" w:rsidR="00B91CF5" w:rsidRPr="00471AB4" w:rsidRDefault="00B91CF5" w:rsidP="002C62C4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71AB4">
        <w:rPr>
          <w:rFonts w:eastAsiaTheme="minorHAnsi"/>
          <w:lang w:eastAsia="en-US"/>
        </w:rPr>
        <w:t>получить и проанализировать акты проверок Банка России, налоговых и иных регулирующих, контрольных, надзорных органов, а также выпущенные по результатам проверок предписания;</w:t>
      </w:r>
    </w:p>
    <w:p w14:paraId="1993C9A5" w14:textId="43533326" w:rsidR="00B91CF5" w:rsidRPr="00471AB4" w:rsidRDefault="00B91CF5" w:rsidP="002C62C4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71AB4">
        <w:rPr>
          <w:rFonts w:eastAsiaTheme="minorHAnsi"/>
          <w:lang w:eastAsia="en-US"/>
        </w:rPr>
        <w:t xml:space="preserve">получить и проанализировать акты проверок службы внутреннего аудита </w:t>
      </w:r>
      <w:r w:rsidR="00AD567B" w:rsidRPr="00471AB4">
        <w:rPr>
          <w:rFonts w:eastAsiaTheme="minorHAnsi"/>
          <w:lang w:eastAsia="en-US"/>
        </w:rPr>
        <w:t>страхово</w:t>
      </w:r>
      <w:r w:rsidRPr="00471AB4">
        <w:rPr>
          <w:rFonts w:eastAsiaTheme="minorHAnsi"/>
          <w:lang w:eastAsia="en-US"/>
        </w:rPr>
        <w:t>й организации.</w:t>
      </w:r>
    </w:p>
    <w:p w14:paraId="1C4DE982" w14:textId="2A9F632A" w:rsidR="00DC59D2" w:rsidRPr="00471AB4" w:rsidRDefault="00DC59D2" w:rsidP="002C62C4">
      <w:pPr>
        <w:jc w:val="both"/>
      </w:pPr>
    </w:p>
    <w:p w14:paraId="3FAC149B" w14:textId="331DFE88" w:rsidR="00A85041" w:rsidRPr="00471AB4" w:rsidRDefault="00A85041" w:rsidP="002C62C4">
      <w:pPr>
        <w:ind w:firstLine="720"/>
        <w:jc w:val="both"/>
      </w:pPr>
      <w:r w:rsidRPr="00471AB4">
        <w:t>Также следует обратить внимание на риски ПОД/ФТ и типологии, которые опубликованы на сайте Росфинмониторинга и убедиться в том, что в аудируемой страховой организации система внутреннего контроля организована таким образом, что учитывает указанные риски, позволяет их идентифицировать и устранить. В частности, на типологию обналичивания денежных средств через счета индивидуальных предпринимателей с участием страховых организаций и мошеннические действия с использованием переуступки прав требований по полису ОСАГО.</w:t>
      </w:r>
    </w:p>
    <w:p w14:paraId="4BD12085" w14:textId="550EA8EB" w:rsidR="00F74C30" w:rsidRPr="00471AB4" w:rsidRDefault="00F74C30" w:rsidP="002C62C4">
      <w:pPr>
        <w:pStyle w:val="a4"/>
        <w:ind w:firstLine="11"/>
        <w:jc w:val="both"/>
        <w:rPr>
          <w:sz w:val="24"/>
          <w:szCs w:val="24"/>
        </w:rPr>
      </w:pPr>
    </w:p>
    <w:p w14:paraId="22C7D250" w14:textId="77777777" w:rsidR="0055086F" w:rsidRPr="00471AB4" w:rsidRDefault="000B0AC8" w:rsidP="002C62C4">
      <w:pPr>
        <w:pStyle w:val="a3"/>
        <w:numPr>
          <w:ilvl w:val="0"/>
          <w:numId w:val="9"/>
        </w:numPr>
        <w:ind w:left="0" w:firstLine="11"/>
        <w:jc w:val="both"/>
        <w:rPr>
          <w:b/>
        </w:rPr>
      </w:pPr>
      <w:r w:rsidRPr="00471AB4">
        <w:rPr>
          <w:b/>
        </w:rPr>
        <w:t>Уведомление Росфинмониторинга</w:t>
      </w:r>
    </w:p>
    <w:p w14:paraId="66DC0E3E" w14:textId="77777777" w:rsidR="000B0AC8" w:rsidRPr="00471AB4" w:rsidRDefault="000B0AC8" w:rsidP="002C62C4">
      <w:pPr>
        <w:ind w:firstLine="11"/>
        <w:jc w:val="both"/>
      </w:pPr>
    </w:p>
    <w:p w14:paraId="231B4FCB" w14:textId="6128B244" w:rsidR="000B0AC8" w:rsidRPr="00471AB4" w:rsidRDefault="000B0AC8" w:rsidP="002C62C4">
      <w:pPr>
        <w:ind w:left="11" w:firstLine="720"/>
        <w:jc w:val="both"/>
      </w:pPr>
      <w:r w:rsidRPr="00471AB4">
        <w:t xml:space="preserve">Аудиторским организациям, индивидуальным аудиторам при оказании аудиторских услуг </w:t>
      </w:r>
      <w:r w:rsidR="00AD567B" w:rsidRPr="00471AB4">
        <w:t>страховым организациям</w:t>
      </w:r>
      <w:r w:rsidRPr="00471AB4">
        <w:t xml:space="preserve"> при возникновении любых оснований полагать, что сделки или финансовые операции аудируемого лица</w:t>
      </w:r>
      <w:r w:rsidR="004560AF" w:rsidRPr="00471AB4">
        <w:t xml:space="preserve"> или </w:t>
      </w:r>
      <w:r w:rsidR="00FA4129" w:rsidRPr="00471AB4">
        <w:t xml:space="preserve">его </w:t>
      </w:r>
      <w:r w:rsidR="004560AF" w:rsidRPr="00471AB4">
        <w:t xml:space="preserve">клиентов </w:t>
      </w:r>
      <w:r w:rsidRPr="00471AB4">
        <w:t xml:space="preserve">могли или могут быть осуществлены в целях </w:t>
      </w:r>
      <w:r w:rsidRPr="00471AB4">
        <w:rPr>
          <w:rFonts w:eastAsia="Calibri"/>
        </w:rPr>
        <w:t xml:space="preserve">ОД/ФТ/ФРОМУ, </w:t>
      </w:r>
      <w:r w:rsidRPr="00471AB4">
        <w:t>в соответствии с п. 2.1 ст. 7.1 Закона 115</w:t>
      </w:r>
      <w:r w:rsidRPr="00471AB4">
        <w:noBreakHyphen/>
        <w:t>ФЗ  и п. 3.2 ч.2 ст. 13 Федерального закона от 30 декабря 2008 № 307-ФЗ «Об аудиторской деятельности» необходимо уведомить об этом Росфинмониторинг.</w:t>
      </w:r>
    </w:p>
    <w:bookmarkEnd w:id="0"/>
    <w:p w14:paraId="69D0EE78" w14:textId="77777777" w:rsidR="000B0AC8" w:rsidRDefault="000B0AC8" w:rsidP="002C62C4">
      <w:pPr>
        <w:ind w:firstLine="11"/>
        <w:jc w:val="both"/>
      </w:pPr>
    </w:p>
    <w:p w14:paraId="62810937" w14:textId="77777777" w:rsidR="000C414A" w:rsidRDefault="000C414A" w:rsidP="002C62C4">
      <w:pPr>
        <w:ind w:firstLine="11"/>
        <w:jc w:val="both"/>
      </w:pPr>
    </w:p>
    <w:p w14:paraId="55A8A3F9" w14:textId="77777777" w:rsidR="000C414A" w:rsidRPr="007116AF" w:rsidRDefault="000C414A" w:rsidP="000C414A">
      <w:pPr>
        <w:pStyle w:val="msonormalmrcssattrmrcssattr"/>
        <w:spacing w:before="120" w:beforeAutospacing="0" w:after="120" w:afterAutospacing="0"/>
        <w:ind w:right="-1"/>
        <w:jc w:val="both"/>
        <w:rPr>
          <w:b/>
          <w:bCs/>
          <w:shd w:val="clear" w:color="auto" w:fill="FFFFFF"/>
        </w:rPr>
      </w:pPr>
      <w:r w:rsidRPr="007116AF">
        <w:rPr>
          <w:b/>
        </w:rPr>
        <w:t xml:space="preserve">Председатель </w:t>
      </w:r>
      <w:r w:rsidRPr="007116AF">
        <w:rPr>
          <w:b/>
          <w:bCs/>
          <w:shd w:val="clear" w:color="auto" w:fill="FFFFFF"/>
        </w:rPr>
        <w:t>Комитета по противодействию коррупции и легализации (отмыванию) доходов, полученных преступным путем, и финансированию терроризма СРО ААС</w:t>
      </w:r>
    </w:p>
    <w:p w14:paraId="41A77B4C" w14:textId="77777777" w:rsidR="000C414A" w:rsidRPr="00E012AA" w:rsidRDefault="000C414A" w:rsidP="000C414A">
      <w:pPr>
        <w:pStyle w:val="msonormalmrcssattrmrcssattr"/>
        <w:spacing w:before="120" w:beforeAutospacing="0" w:after="120" w:afterAutospacing="0"/>
        <w:ind w:right="-1"/>
        <w:jc w:val="both"/>
        <w:rPr>
          <w:b/>
        </w:rPr>
      </w:pPr>
      <w:r w:rsidRPr="007116AF">
        <w:rPr>
          <w:b/>
          <w:bCs/>
          <w:shd w:val="clear" w:color="auto" w:fill="FFFFFF"/>
        </w:rPr>
        <w:t>к.ю.н.                                                                    В.В. Бутовский</w:t>
      </w:r>
      <w:r w:rsidRPr="00E012AA">
        <w:rPr>
          <w:b/>
          <w:bCs/>
          <w:shd w:val="clear" w:color="auto" w:fill="FFFFFF"/>
        </w:rPr>
        <w:t xml:space="preserve">       </w:t>
      </w:r>
    </w:p>
    <w:p w14:paraId="5131E568" w14:textId="77777777" w:rsidR="000C414A" w:rsidRPr="001C21F1" w:rsidRDefault="000C414A" w:rsidP="000C414A">
      <w:pPr>
        <w:ind w:firstLine="11"/>
        <w:jc w:val="both"/>
      </w:pPr>
    </w:p>
    <w:p w14:paraId="652EF638" w14:textId="77777777" w:rsidR="000C414A" w:rsidRPr="00471AB4" w:rsidRDefault="000C414A" w:rsidP="002C62C4">
      <w:pPr>
        <w:ind w:firstLine="11"/>
        <w:jc w:val="both"/>
      </w:pPr>
    </w:p>
    <w:sectPr w:rsidR="000C414A" w:rsidRPr="00471A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C75C" w14:textId="77777777" w:rsidR="00417F13" w:rsidRDefault="00417F13" w:rsidP="000B0AC8">
      <w:r>
        <w:separator/>
      </w:r>
    </w:p>
  </w:endnote>
  <w:endnote w:type="continuationSeparator" w:id="0">
    <w:p w14:paraId="0CD682C1" w14:textId="77777777" w:rsidR="00417F13" w:rsidRDefault="00417F13" w:rsidP="000B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07E5" w14:textId="77777777" w:rsidR="00417F13" w:rsidRDefault="00417F13" w:rsidP="000B0AC8">
      <w:r>
        <w:separator/>
      </w:r>
    </w:p>
  </w:footnote>
  <w:footnote w:type="continuationSeparator" w:id="0">
    <w:p w14:paraId="59B9CFB2" w14:textId="77777777" w:rsidR="00417F13" w:rsidRDefault="00417F13" w:rsidP="000B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639B"/>
    <w:multiLevelType w:val="hybridMultilevel"/>
    <w:tmpl w:val="F30C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CE1"/>
    <w:multiLevelType w:val="hybridMultilevel"/>
    <w:tmpl w:val="DC86B020"/>
    <w:lvl w:ilvl="0" w:tplc="1BDC456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3E141F"/>
    <w:multiLevelType w:val="hybridMultilevel"/>
    <w:tmpl w:val="52760F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C054140"/>
    <w:multiLevelType w:val="hybridMultilevel"/>
    <w:tmpl w:val="78560B0A"/>
    <w:lvl w:ilvl="0" w:tplc="B12C5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024F76"/>
    <w:multiLevelType w:val="hybridMultilevel"/>
    <w:tmpl w:val="6B50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3F2E"/>
    <w:multiLevelType w:val="hybridMultilevel"/>
    <w:tmpl w:val="624A0C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E75AA0"/>
    <w:multiLevelType w:val="hybridMultilevel"/>
    <w:tmpl w:val="A2205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D10794"/>
    <w:multiLevelType w:val="hybridMultilevel"/>
    <w:tmpl w:val="C5A86B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2D633B8"/>
    <w:multiLevelType w:val="hybridMultilevel"/>
    <w:tmpl w:val="C432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F4976"/>
    <w:multiLevelType w:val="hybridMultilevel"/>
    <w:tmpl w:val="F57C17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FA6E40"/>
    <w:multiLevelType w:val="hybridMultilevel"/>
    <w:tmpl w:val="D904E6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9715C12"/>
    <w:multiLevelType w:val="multilevel"/>
    <w:tmpl w:val="C618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A2BA9"/>
    <w:multiLevelType w:val="hybridMultilevel"/>
    <w:tmpl w:val="D3C84542"/>
    <w:lvl w:ilvl="0" w:tplc="41A82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DD0869"/>
    <w:multiLevelType w:val="hybridMultilevel"/>
    <w:tmpl w:val="BB3A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A78C2"/>
    <w:multiLevelType w:val="hybridMultilevel"/>
    <w:tmpl w:val="F37EE8C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6C9B3F2C"/>
    <w:multiLevelType w:val="hybridMultilevel"/>
    <w:tmpl w:val="AB5A0AB6"/>
    <w:lvl w:ilvl="0" w:tplc="6308944C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125295"/>
    <w:multiLevelType w:val="hybridMultilevel"/>
    <w:tmpl w:val="C648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C70E1"/>
    <w:multiLevelType w:val="hybridMultilevel"/>
    <w:tmpl w:val="52B2F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5"/>
  </w:num>
  <w:num w:numId="10">
    <w:abstractNumId w:val="11"/>
  </w:num>
  <w:num w:numId="11">
    <w:abstractNumId w:val="10"/>
  </w:num>
  <w:num w:numId="12">
    <w:abstractNumId w:val="17"/>
  </w:num>
  <w:num w:numId="13">
    <w:abstractNumId w:val="0"/>
  </w:num>
  <w:num w:numId="14">
    <w:abstractNumId w:val="4"/>
  </w:num>
  <w:num w:numId="15">
    <w:abstractNumId w:val="8"/>
  </w:num>
  <w:num w:numId="16">
    <w:abstractNumId w:val="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B4"/>
    <w:rsid w:val="00007941"/>
    <w:rsid w:val="000142B4"/>
    <w:rsid w:val="00077931"/>
    <w:rsid w:val="000A1C85"/>
    <w:rsid w:val="000B0AC8"/>
    <w:rsid w:val="000C414A"/>
    <w:rsid w:val="000E6DB0"/>
    <w:rsid w:val="00103357"/>
    <w:rsid w:val="001106FE"/>
    <w:rsid w:val="001138C0"/>
    <w:rsid w:val="001966C1"/>
    <w:rsid w:val="001A1BB4"/>
    <w:rsid w:val="001D1717"/>
    <w:rsid w:val="00204787"/>
    <w:rsid w:val="0022187B"/>
    <w:rsid w:val="00250010"/>
    <w:rsid w:val="002C62C4"/>
    <w:rsid w:val="002E238A"/>
    <w:rsid w:val="003522BB"/>
    <w:rsid w:val="00353E0F"/>
    <w:rsid w:val="003B7EBE"/>
    <w:rsid w:val="004115A2"/>
    <w:rsid w:val="00412675"/>
    <w:rsid w:val="00417F13"/>
    <w:rsid w:val="00425D20"/>
    <w:rsid w:val="00450BE9"/>
    <w:rsid w:val="004560AF"/>
    <w:rsid w:val="00460027"/>
    <w:rsid w:val="00471AB4"/>
    <w:rsid w:val="004A15D5"/>
    <w:rsid w:val="004C12C2"/>
    <w:rsid w:val="004C5684"/>
    <w:rsid w:val="004D22E8"/>
    <w:rsid w:val="0055086F"/>
    <w:rsid w:val="0055783B"/>
    <w:rsid w:val="00564D04"/>
    <w:rsid w:val="00582247"/>
    <w:rsid w:val="005B03CB"/>
    <w:rsid w:val="005B7527"/>
    <w:rsid w:val="005F1871"/>
    <w:rsid w:val="0062280B"/>
    <w:rsid w:val="00651130"/>
    <w:rsid w:val="006A2AB6"/>
    <w:rsid w:val="00741A23"/>
    <w:rsid w:val="00742CB1"/>
    <w:rsid w:val="00766604"/>
    <w:rsid w:val="00773EC3"/>
    <w:rsid w:val="00783B51"/>
    <w:rsid w:val="00795D81"/>
    <w:rsid w:val="00797C38"/>
    <w:rsid w:val="007D1551"/>
    <w:rsid w:val="007D5AB7"/>
    <w:rsid w:val="007E7FBF"/>
    <w:rsid w:val="007F2D1D"/>
    <w:rsid w:val="0080561F"/>
    <w:rsid w:val="00814025"/>
    <w:rsid w:val="008612E0"/>
    <w:rsid w:val="00883180"/>
    <w:rsid w:val="008C1CFB"/>
    <w:rsid w:val="009334FC"/>
    <w:rsid w:val="0094387F"/>
    <w:rsid w:val="00980493"/>
    <w:rsid w:val="009C3A8E"/>
    <w:rsid w:val="009E5E23"/>
    <w:rsid w:val="00A348A3"/>
    <w:rsid w:val="00A8044B"/>
    <w:rsid w:val="00A85041"/>
    <w:rsid w:val="00A95BC8"/>
    <w:rsid w:val="00AA3D38"/>
    <w:rsid w:val="00AB603B"/>
    <w:rsid w:val="00AC75B2"/>
    <w:rsid w:val="00AD567B"/>
    <w:rsid w:val="00AF58A0"/>
    <w:rsid w:val="00B91CF5"/>
    <w:rsid w:val="00B9670C"/>
    <w:rsid w:val="00BB1604"/>
    <w:rsid w:val="00BB59FD"/>
    <w:rsid w:val="00BC7006"/>
    <w:rsid w:val="00C10F61"/>
    <w:rsid w:val="00C80FCB"/>
    <w:rsid w:val="00CE58B0"/>
    <w:rsid w:val="00D025FC"/>
    <w:rsid w:val="00D47734"/>
    <w:rsid w:val="00D60075"/>
    <w:rsid w:val="00DB3CBC"/>
    <w:rsid w:val="00DC0FAD"/>
    <w:rsid w:val="00DC5490"/>
    <w:rsid w:val="00DC59D2"/>
    <w:rsid w:val="00DD2225"/>
    <w:rsid w:val="00E61AE2"/>
    <w:rsid w:val="00E82A60"/>
    <w:rsid w:val="00E94A66"/>
    <w:rsid w:val="00ED6992"/>
    <w:rsid w:val="00EF6A84"/>
    <w:rsid w:val="00F74C30"/>
    <w:rsid w:val="00FA4129"/>
    <w:rsid w:val="00FB231C"/>
    <w:rsid w:val="00FC16DE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2E87"/>
  <w15:chartTrackingRefBased/>
  <w15:docId w15:val="{3356708B-D84B-4EB0-8076-2E419E56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B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A1BB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A1BB4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DB3CBC"/>
    <w:rPr>
      <w:color w:val="00A3E0" w:themeColor="hyperlink"/>
      <w:u w:val="single"/>
    </w:rPr>
  </w:style>
  <w:style w:type="paragraph" w:customStyle="1" w:styleId="ConsPlusNormal">
    <w:name w:val="ConsPlusNormal"/>
    <w:rsid w:val="00797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0B0AC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0AC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semiHidden/>
    <w:unhideWhenUsed/>
    <w:rsid w:val="000B0AC8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E58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58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58B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58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58B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msonormalmrcssattrmrcssattr">
    <w:name w:val="msonormal_mr_css_attr_mr_css_attr"/>
    <w:basedOn w:val="a"/>
    <w:rsid w:val="00425D20"/>
    <w:pPr>
      <w:spacing w:before="100" w:beforeAutospacing="1" w:after="100" w:afterAutospacing="1"/>
    </w:pPr>
  </w:style>
  <w:style w:type="character" w:customStyle="1" w:styleId="A20">
    <w:name w:val="A2"/>
    <w:uiPriority w:val="99"/>
    <w:rsid w:val="00DD2225"/>
    <w:rPr>
      <w:rFonts w:cs="Open Sans Light"/>
      <w:color w:val="000000"/>
      <w:sz w:val="22"/>
      <w:szCs w:val="22"/>
    </w:rPr>
  </w:style>
  <w:style w:type="paragraph" w:customStyle="1" w:styleId="ConsPlusNonformat">
    <w:name w:val="ConsPlusNonformat"/>
    <w:rsid w:val="00A348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rmal (Web)"/>
    <w:basedOn w:val="a"/>
    <w:uiPriority w:val="99"/>
    <w:unhideWhenUsed/>
    <w:rsid w:val="00E94A66"/>
    <w:pPr>
      <w:spacing w:before="100" w:beforeAutospacing="1" w:after="100" w:afterAutospacing="1"/>
    </w:pPr>
    <w:rPr>
      <w:lang w:val="en-US" w:eastAsia="en-US"/>
    </w:rPr>
  </w:style>
  <w:style w:type="character" w:customStyle="1" w:styleId="A90">
    <w:name w:val="A9"/>
    <w:uiPriority w:val="99"/>
    <w:rsid w:val="00741A23"/>
    <w:rPr>
      <w:rFonts w:cs="Open Sans Light"/>
      <w:color w:val="000000"/>
      <w:sz w:val="12"/>
      <w:szCs w:val="12"/>
    </w:rPr>
  </w:style>
  <w:style w:type="character" w:customStyle="1" w:styleId="A80">
    <w:name w:val="A8"/>
    <w:uiPriority w:val="99"/>
    <w:rsid w:val="0080561F"/>
    <w:rPr>
      <w:rFonts w:cs="Open Sans Light"/>
      <w:color w:val="000000"/>
      <w:sz w:val="16"/>
      <w:szCs w:val="16"/>
    </w:rPr>
  </w:style>
  <w:style w:type="paragraph" w:customStyle="1" w:styleId="Pa7">
    <w:name w:val="Pa7"/>
    <w:basedOn w:val="a"/>
    <w:next w:val="a"/>
    <w:uiPriority w:val="99"/>
    <w:rsid w:val="00FC16DE"/>
    <w:pPr>
      <w:autoSpaceDE w:val="0"/>
      <w:autoSpaceDN w:val="0"/>
      <w:adjustRightInd w:val="0"/>
      <w:spacing w:line="241" w:lineRule="atLeast"/>
    </w:pPr>
    <w:rPr>
      <w:rFonts w:ascii="Open Sans Light" w:eastAsiaTheme="minorHAnsi" w:hAnsi="Open Sans Light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7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9A89FC858BFD52D0444690DE951499729CEC8C5D13007A8C7B37B40DA320BCD351C932AF5711F4AFE4EEA22FBE78829129D4B690ED6EDV4ND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59A89FC858BFD52D0444690DE95149952DC9C1C6D63007A8C7B37B40DA320BCD351C932AF5701C4FFE4EEA22FBE78829129D4B690ED6EDV4ND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E34CA859A2697AC276E68DC351C1D2604C78AE7FA63A587366F3F33612408F0DCE6BF6B78873CD12F090C0EClD1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dsfm.ru/fm/nor" TargetMode="External"/></Relationships>
</file>

<file path=word/theme/theme1.xml><?xml version="1.0" encoding="utf-8"?>
<a:theme xmlns:a="http://schemas.openxmlformats.org/drawingml/2006/main" name="Office Theme">
  <a:themeElements>
    <a:clrScheme name="Deloitte2020">
      <a:dk1>
        <a:sysClr val="windowText" lastClr="000000"/>
      </a:dk1>
      <a:lt1>
        <a:sysClr val="window" lastClr="FFFFFF"/>
      </a:lt1>
      <a:dk2>
        <a:srgbClr val="D0D0CE"/>
      </a:dk2>
      <a:lt2>
        <a:srgbClr val="53565A"/>
      </a:lt2>
      <a:accent1>
        <a:srgbClr val="86BC25"/>
      </a:accent1>
      <a:accent2>
        <a:srgbClr val="43B02A"/>
      </a:accent2>
      <a:accent3>
        <a:srgbClr val="26890D"/>
      </a:accent3>
      <a:accent4>
        <a:srgbClr val="046A38"/>
      </a:accent4>
      <a:accent5>
        <a:srgbClr val="0D8390"/>
      </a:accent5>
      <a:accent6>
        <a:srgbClr val="007CB0"/>
      </a:accent6>
      <a:hlink>
        <a:srgbClr val="00A3E0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2953</Words>
  <Characters>16833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Grodzovskaya, Nadejda</dc:creator>
  <cp:keywords/>
  <dc:description/>
  <cp:lastModifiedBy>Мария К. Карнаух</cp:lastModifiedBy>
  <cp:revision>7</cp:revision>
  <cp:lastPrinted>2024-06-20T12:56:00Z</cp:lastPrinted>
  <dcterms:created xsi:type="dcterms:W3CDTF">2024-06-04T06:55:00Z</dcterms:created>
  <dcterms:modified xsi:type="dcterms:W3CDTF">2024-06-20T14:06:00Z</dcterms:modified>
</cp:coreProperties>
</file>