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5564D94F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77777777" w:rsidR="00346DA5" w:rsidRDefault="00960324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 декабря</w:t>
      </w:r>
      <w:r w:rsidR="00346DA5" w:rsidRPr="00346DA5">
        <w:rPr>
          <w:color w:val="000000"/>
          <w:sz w:val="23"/>
          <w:szCs w:val="23"/>
        </w:rPr>
        <w:t xml:space="preserve"> 2022 года в очной форме (дистанционно) состоялось заседание комитета по профессиональной этике и независимости аудиторов СРО ААС (далее – комитет, КНЭП).</w:t>
      </w:r>
    </w:p>
    <w:p w14:paraId="51420CC9" w14:textId="77777777" w:rsidR="00515224" w:rsidRDefault="00515224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6DF16424" w14:textId="77777777" w:rsidR="00515224" w:rsidRDefault="008F1A73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 xml:space="preserve">уководитель Аналитического центра СРО ААС Гришаев А.В. и </w:t>
      </w:r>
      <w:r w:rsidR="00960324">
        <w:rPr>
          <w:color w:val="000000"/>
          <w:sz w:val="23"/>
          <w:szCs w:val="23"/>
        </w:rPr>
        <w:t xml:space="preserve">два </w:t>
      </w:r>
      <w:r w:rsidRPr="009918D2">
        <w:rPr>
          <w:color w:val="000000"/>
          <w:sz w:val="23"/>
          <w:szCs w:val="23"/>
        </w:rPr>
        <w:t>аудитор</w:t>
      </w:r>
      <w:r w:rsidR="00960324">
        <w:rPr>
          <w:color w:val="000000"/>
          <w:sz w:val="23"/>
          <w:szCs w:val="23"/>
        </w:rPr>
        <w:t>а</w:t>
      </w:r>
      <w:r w:rsidR="00562469">
        <w:rPr>
          <w:color w:val="000000"/>
          <w:sz w:val="23"/>
          <w:szCs w:val="23"/>
        </w:rPr>
        <w:t xml:space="preserve"> - </w:t>
      </w:r>
      <w:r w:rsidRPr="009918D2">
        <w:rPr>
          <w:color w:val="000000"/>
          <w:sz w:val="23"/>
          <w:szCs w:val="23"/>
        </w:rPr>
        <w:t>член</w:t>
      </w:r>
      <w:r w:rsidR="00960324">
        <w:rPr>
          <w:color w:val="000000"/>
          <w:sz w:val="23"/>
          <w:szCs w:val="23"/>
        </w:rPr>
        <w:t>ы</w:t>
      </w:r>
      <w:r w:rsidRPr="009918D2">
        <w:rPr>
          <w:color w:val="000000"/>
          <w:sz w:val="23"/>
          <w:szCs w:val="23"/>
        </w:rPr>
        <w:t xml:space="preserve"> СРО ААС.</w:t>
      </w:r>
    </w:p>
    <w:p w14:paraId="609BB336" w14:textId="77777777" w:rsidR="00515224" w:rsidRDefault="00515224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5036FB74" w14:textId="77777777" w:rsidR="00D773D3" w:rsidRPr="00346DA5" w:rsidRDefault="00D773D3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На заседании были рассмотрены:</w:t>
      </w:r>
    </w:p>
    <w:p w14:paraId="68596D00" w14:textId="77777777" w:rsidR="00D773D3" w:rsidRDefault="00D773D3" w:rsidP="00955B5B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Оценка БДР</w:t>
      </w:r>
      <w:r w:rsidR="00346DA5">
        <w:rPr>
          <w:color w:val="000000"/>
          <w:sz w:val="23"/>
          <w:szCs w:val="23"/>
        </w:rPr>
        <w:t>;</w:t>
      </w:r>
      <w:r w:rsidRPr="00346DA5">
        <w:rPr>
          <w:color w:val="000000"/>
          <w:sz w:val="23"/>
          <w:szCs w:val="23"/>
        </w:rPr>
        <w:t xml:space="preserve"> </w:t>
      </w:r>
    </w:p>
    <w:p w14:paraId="49B78D5D" w14:textId="77777777" w:rsidR="00960324" w:rsidRDefault="00960324" w:rsidP="00955B5B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Жалобы;</w:t>
      </w:r>
    </w:p>
    <w:p w14:paraId="21B70600" w14:textId="060B942D" w:rsidR="00960324" w:rsidRDefault="00960324" w:rsidP="00955B5B">
      <w:pPr>
        <w:pStyle w:val="ListParagraph"/>
        <w:numPr>
          <w:ilvl w:val="0"/>
          <w:numId w:val="2"/>
        </w:numPr>
        <w:tabs>
          <w:tab w:val="left" w:pos="-171"/>
          <w:tab w:val="left" w:pos="228"/>
        </w:tabs>
        <w:contextualSpacing w:val="0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t>Переходные положения для новых редакций Кодекса профессиональной этики и Правил независимости СРО ААС</w:t>
      </w:r>
      <w:r w:rsidR="00955B5B">
        <w:rPr>
          <w:color w:val="000000"/>
          <w:sz w:val="23"/>
          <w:szCs w:val="23"/>
        </w:rPr>
        <w:t>;</w:t>
      </w:r>
      <w:r w:rsidRPr="00960324">
        <w:rPr>
          <w:color w:val="000000"/>
          <w:sz w:val="23"/>
          <w:szCs w:val="23"/>
        </w:rPr>
        <w:t xml:space="preserve"> </w:t>
      </w:r>
    </w:p>
    <w:p w14:paraId="056DDFFB" w14:textId="054042F1" w:rsidR="00515224" w:rsidRPr="00960324" w:rsidRDefault="00960324" w:rsidP="00955B5B">
      <w:pPr>
        <w:pStyle w:val="ListParagraph"/>
        <w:numPr>
          <w:ilvl w:val="0"/>
          <w:numId w:val="2"/>
        </w:numPr>
        <w:tabs>
          <w:tab w:val="left" w:pos="-171"/>
          <w:tab w:val="left" w:pos="228"/>
        </w:tabs>
        <w:contextualSpacing w:val="0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t>План мероприятий по вопросу взаимодействия с аудиторами на новых территориях</w:t>
      </w:r>
      <w:r w:rsidR="00955B5B">
        <w:rPr>
          <w:color w:val="000000"/>
          <w:sz w:val="23"/>
          <w:szCs w:val="23"/>
        </w:rPr>
        <w:t>;</w:t>
      </w:r>
    </w:p>
    <w:p w14:paraId="63365994" w14:textId="0D54BAB2" w:rsidR="00960324" w:rsidRPr="00960324" w:rsidRDefault="00955B5B" w:rsidP="00955B5B">
      <w:pPr>
        <w:pStyle w:val="ListParagraph"/>
        <w:numPr>
          <w:ilvl w:val="0"/>
          <w:numId w:val="2"/>
        </w:numPr>
        <w:tabs>
          <w:tab w:val="left" w:pos="-171"/>
          <w:tab w:val="left" w:pos="228"/>
        </w:tabs>
        <w:contextualSpacing w:val="0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t>Регламент проведения</w:t>
      </w:r>
      <w:r w:rsidR="00960324" w:rsidRPr="00955B5B">
        <w:rPr>
          <w:color w:val="000000"/>
          <w:sz w:val="23"/>
          <w:szCs w:val="23"/>
        </w:rPr>
        <w:t xml:space="preserve"> региональных мероприятий СРО ААС по профильной области КПЭН</w:t>
      </w:r>
      <w:r>
        <w:rPr>
          <w:color w:val="000000"/>
          <w:sz w:val="23"/>
          <w:szCs w:val="23"/>
        </w:rPr>
        <w:t>;</w:t>
      </w:r>
      <w:r w:rsidR="00960324" w:rsidRPr="00955B5B">
        <w:rPr>
          <w:color w:val="000000"/>
          <w:sz w:val="23"/>
          <w:szCs w:val="23"/>
        </w:rPr>
        <w:t xml:space="preserve"> </w:t>
      </w:r>
    </w:p>
    <w:p w14:paraId="371761DA" w14:textId="6AEFBF12" w:rsidR="00960324" w:rsidRPr="00960324" w:rsidRDefault="00955B5B" w:rsidP="00955B5B">
      <w:pPr>
        <w:pStyle w:val="ListParagraph"/>
        <w:numPr>
          <w:ilvl w:val="0"/>
          <w:numId w:val="2"/>
        </w:numPr>
        <w:tabs>
          <w:tab w:val="left" w:pos="-171"/>
          <w:tab w:val="left" w:pos="228"/>
        </w:tabs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Пожелания от ДК СРО ААС по </w:t>
      </w:r>
      <w:r w:rsidR="00960324" w:rsidRPr="00955B5B">
        <w:rPr>
          <w:color w:val="000000"/>
          <w:sz w:val="23"/>
          <w:szCs w:val="23"/>
        </w:rPr>
        <w:t>жалобам</w:t>
      </w:r>
      <w:r>
        <w:rPr>
          <w:color w:val="000000"/>
          <w:sz w:val="23"/>
          <w:szCs w:val="23"/>
        </w:rPr>
        <w:t>.</w:t>
      </w:r>
    </w:p>
    <w:p w14:paraId="1C70A5EC" w14:textId="77777777" w:rsidR="00960324" w:rsidRDefault="00960324" w:rsidP="00955B5B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</w:p>
    <w:p w14:paraId="289A10D3" w14:textId="556DC260" w:rsidR="00BB7186" w:rsidRDefault="00BB7186" w:rsidP="00955B5B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По первому вопросу </w:t>
      </w:r>
      <w:r>
        <w:rPr>
          <w:color w:val="000000"/>
          <w:sz w:val="23"/>
          <w:szCs w:val="23"/>
        </w:rPr>
        <w:t xml:space="preserve">Комитет провёл оценку </w:t>
      </w:r>
      <w:r w:rsidRPr="000F22A6">
        <w:rPr>
          <w:color w:val="000000"/>
          <w:sz w:val="23"/>
          <w:szCs w:val="23"/>
        </w:rPr>
        <w:t xml:space="preserve">соответствия </w:t>
      </w:r>
      <w:r w:rsidR="000F22A6" w:rsidRPr="000F22A6">
        <w:rPr>
          <w:color w:val="000000"/>
          <w:sz w:val="23"/>
          <w:szCs w:val="23"/>
        </w:rPr>
        <w:t xml:space="preserve">пяти </w:t>
      </w:r>
      <w:r w:rsidRPr="000F22A6">
        <w:rPr>
          <w:color w:val="000000"/>
          <w:sz w:val="23"/>
          <w:szCs w:val="23"/>
        </w:rPr>
        <w:t>аудитор</w:t>
      </w:r>
      <w:r w:rsidR="000F22A6" w:rsidRPr="000F22A6">
        <w:rPr>
          <w:color w:val="000000"/>
          <w:sz w:val="23"/>
          <w:szCs w:val="23"/>
        </w:rPr>
        <w:t>ов</w:t>
      </w:r>
      <w:r w:rsidRPr="000F22A6">
        <w:rPr>
          <w:color w:val="000000"/>
          <w:sz w:val="23"/>
          <w:szCs w:val="23"/>
        </w:rPr>
        <w:t xml:space="preserve"> и </w:t>
      </w:r>
      <w:r w:rsidR="000F22A6" w:rsidRPr="000F22A6">
        <w:rPr>
          <w:color w:val="000000"/>
          <w:sz w:val="23"/>
          <w:szCs w:val="23"/>
        </w:rPr>
        <w:t xml:space="preserve">аудиторской </w:t>
      </w:r>
      <w:r w:rsidRPr="000F22A6">
        <w:rPr>
          <w:color w:val="000000"/>
          <w:sz w:val="23"/>
          <w:szCs w:val="23"/>
        </w:rPr>
        <w:t>организации</w:t>
      </w:r>
      <w:r>
        <w:rPr>
          <w:color w:val="000000"/>
          <w:sz w:val="23"/>
          <w:szCs w:val="23"/>
        </w:rPr>
        <w:t xml:space="preserve"> требованиям к членству в части наличия безупречной деловой репутации. </w:t>
      </w:r>
    </w:p>
    <w:p w14:paraId="39842A12" w14:textId="7D10B92B" w:rsidR="00BB7186" w:rsidRPr="00AB1858" w:rsidRDefault="00E83783" w:rsidP="00955B5B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Четверо </w:t>
      </w:r>
      <w:r w:rsidR="000F22A6">
        <w:rPr>
          <w:color w:val="000000"/>
          <w:sz w:val="23"/>
          <w:szCs w:val="23"/>
        </w:rPr>
        <w:t>а</w:t>
      </w:r>
      <w:r w:rsidR="00BB7186" w:rsidRPr="00D64D51">
        <w:rPr>
          <w:color w:val="000000"/>
          <w:sz w:val="23"/>
          <w:szCs w:val="23"/>
        </w:rPr>
        <w:t>удитор</w:t>
      </w:r>
      <w:r>
        <w:rPr>
          <w:color w:val="000000"/>
          <w:sz w:val="23"/>
          <w:szCs w:val="23"/>
        </w:rPr>
        <w:t>ов</w:t>
      </w:r>
      <w:r w:rsidR="00BB7186" w:rsidRPr="00D64D51">
        <w:rPr>
          <w:color w:val="000000"/>
          <w:sz w:val="23"/>
          <w:szCs w:val="23"/>
        </w:rPr>
        <w:t xml:space="preserve"> предоставил</w:t>
      </w:r>
      <w:r w:rsidR="000F22A6">
        <w:rPr>
          <w:color w:val="000000"/>
          <w:sz w:val="23"/>
          <w:szCs w:val="23"/>
        </w:rPr>
        <w:t>и</w:t>
      </w:r>
      <w:r w:rsidR="00BB7186" w:rsidRPr="00D64D51">
        <w:rPr>
          <w:color w:val="000000"/>
          <w:sz w:val="23"/>
          <w:szCs w:val="23"/>
        </w:rPr>
        <w:t xml:space="preserve"> Комитету </w:t>
      </w:r>
      <w:r w:rsidR="00BB7186">
        <w:rPr>
          <w:color w:val="000000"/>
          <w:sz w:val="23"/>
          <w:szCs w:val="23"/>
        </w:rPr>
        <w:t xml:space="preserve">письменные </w:t>
      </w:r>
      <w:r w:rsidR="00BB7186" w:rsidRPr="00D64D51">
        <w:rPr>
          <w:color w:val="000000"/>
          <w:sz w:val="23"/>
          <w:szCs w:val="23"/>
        </w:rPr>
        <w:t>пояснения по обнаруженным в отношении н</w:t>
      </w:r>
      <w:r w:rsidR="00955B5B">
        <w:rPr>
          <w:color w:val="000000"/>
          <w:sz w:val="23"/>
          <w:szCs w:val="23"/>
        </w:rPr>
        <w:t>их</w:t>
      </w:r>
      <w:r w:rsidR="00BB7186" w:rsidRPr="00D64D51">
        <w:rPr>
          <w:color w:val="000000"/>
          <w:sz w:val="23"/>
          <w:szCs w:val="23"/>
        </w:rPr>
        <w:t xml:space="preserve"> свидетельствам отсутствия безупречной деловой (профессиональной) репутации</w:t>
      </w:r>
      <w:r w:rsidR="00BB7186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Два </w:t>
      </w:r>
      <w:r w:rsidRPr="00AB1858">
        <w:rPr>
          <w:color w:val="000000"/>
          <w:sz w:val="23"/>
          <w:szCs w:val="23"/>
        </w:rPr>
        <w:t>аудитора</w:t>
      </w:r>
      <w:r w:rsidR="00BB7186" w:rsidRPr="00AB1858">
        <w:rPr>
          <w:color w:val="000000"/>
          <w:sz w:val="23"/>
          <w:szCs w:val="23"/>
        </w:rPr>
        <w:t xml:space="preserve"> также присутствовал</w:t>
      </w:r>
      <w:r w:rsidR="00955B5B">
        <w:rPr>
          <w:color w:val="000000"/>
          <w:sz w:val="23"/>
          <w:szCs w:val="23"/>
        </w:rPr>
        <w:t>и</w:t>
      </w:r>
      <w:r w:rsidR="00BB7186" w:rsidRPr="00AB1858">
        <w:rPr>
          <w:color w:val="000000"/>
          <w:sz w:val="23"/>
          <w:szCs w:val="23"/>
        </w:rPr>
        <w:t xml:space="preserve"> на заседании Комитета и дал</w:t>
      </w:r>
      <w:r w:rsidR="00955B5B">
        <w:rPr>
          <w:color w:val="000000"/>
          <w:sz w:val="23"/>
          <w:szCs w:val="23"/>
        </w:rPr>
        <w:t>и</w:t>
      </w:r>
      <w:r w:rsidR="00BB7186" w:rsidRPr="00AB1858">
        <w:rPr>
          <w:color w:val="000000"/>
          <w:sz w:val="23"/>
          <w:szCs w:val="23"/>
        </w:rPr>
        <w:t xml:space="preserve"> дополнительные устные пояснения.</w:t>
      </w:r>
    </w:p>
    <w:p w14:paraId="7658FDE6" w14:textId="77777777" w:rsidR="00955B5B" w:rsidRDefault="00E83783" w:rsidP="00955B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 аудитор не предоставил п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ояснени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Комитету и с ним не удалось с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вязаться ни по одному из имеющихся в СРО ААС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контактам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связи с этим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принял решение п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опытаться связаться с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аудитором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ещё раз и пригласить его на очередное заседание Комитета в январе 2023 года для рассмотрения данного вопроса;</w:t>
      </w:r>
    </w:p>
    <w:p w14:paraId="5AC5C1DB" w14:textId="041D6283" w:rsidR="00E83783" w:rsidRPr="00955B5B" w:rsidRDefault="00BB7186" w:rsidP="00955B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двум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принял решение о соответствии их требованиям к членству в части наличия безупречной деловой репутации. </w:t>
      </w:r>
    </w:p>
    <w:p w14:paraId="4BC42D4A" w14:textId="139D7C5B" w:rsidR="00E83783" w:rsidRPr="00955B5B" w:rsidRDefault="00E83783" w:rsidP="00955B5B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 w:rsidRPr="00E83783">
        <w:rPr>
          <w:color w:val="000000"/>
          <w:sz w:val="23"/>
          <w:szCs w:val="23"/>
        </w:rPr>
        <w:t xml:space="preserve">Члены Комитета </w:t>
      </w:r>
      <w:r>
        <w:rPr>
          <w:color w:val="000000"/>
          <w:sz w:val="23"/>
          <w:szCs w:val="23"/>
        </w:rPr>
        <w:t xml:space="preserve">в </w:t>
      </w:r>
      <w:r w:rsidR="00955B5B">
        <w:rPr>
          <w:color w:val="000000"/>
          <w:sz w:val="23"/>
          <w:szCs w:val="23"/>
        </w:rPr>
        <w:t>отношении</w:t>
      </w:r>
      <w:r>
        <w:rPr>
          <w:color w:val="000000"/>
          <w:sz w:val="23"/>
          <w:szCs w:val="23"/>
        </w:rPr>
        <w:t xml:space="preserve"> одного аудитора </w:t>
      </w:r>
      <w:r w:rsidRPr="00E83783">
        <w:rPr>
          <w:color w:val="000000"/>
          <w:sz w:val="23"/>
          <w:szCs w:val="23"/>
        </w:rPr>
        <w:t xml:space="preserve">также решили направить </w:t>
      </w:r>
      <w:r w:rsidR="00955B5B" w:rsidRPr="00E83783">
        <w:rPr>
          <w:color w:val="000000"/>
          <w:sz w:val="23"/>
          <w:szCs w:val="23"/>
        </w:rPr>
        <w:t>информацию</w:t>
      </w:r>
      <w:r w:rsidRPr="00E83783">
        <w:rPr>
          <w:color w:val="000000"/>
          <w:sz w:val="23"/>
          <w:szCs w:val="23"/>
        </w:rPr>
        <w:t xml:space="preserve"> в Комиссию по контролю деятельности для включения аудиторской организации, </w:t>
      </w:r>
      <w:r w:rsidR="00955B5B">
        <w:rPr>
          <w:color w:val="000000"/>
          <w:sz w:val="23"/>
          <w:szCs w:val="23"/>
        </w:rPr>
        <w:t>в</w:t>
      </w:r>
      <w:r w:rsidRPr="00E83783">
        <w:rPr>
          <w:color w:val="000000"/>
          <w:sz w:val="23"/>
          <w:szCs w:val="23"/>
        </w:rPr>
        <w:t xml:space="preserve"> </w:t>
      </w:r>
      <w:r w:rsidR="00955B5B">
        <w:rPr>
          <w:color w:val="000000"/>
          <w:sz w:val="23"/>
          <w:szCs w:val="23"/>
        </w:rPr>
        <w:t>ко</w:t>
      </w:r>
      <w:r w:rsidR="00955B5B" w:rsidRPr="00E83783">
        <w:rPr>
          <w:color w:val="000000"/>
          <w:sz w:val="23"/>
          <w:szCs w:val="23"/>
        </w:rPr>
        <w:t>торой</w:t>
      </w:r>
      <w:r w:rsidRPr="00E83783">
        <w:rPr>
          <w:color w:val="000000"/>
          <w:sz w:val="23"/>
          <w:szCs w:val="23"/>
        </w:rPr>
        <w:t xml:space="preserve"> </w:t>
      </w:r>
      <w:r w:rsidR="00955B5B" w:rsidRPr="00E83783">
        <w:rPr>
          <w:color w:val="000000"/>
          <w:sz w:val="23"/>
          <w:szCs w:val="23"/>
        </w:rPr>
        <w:t>аудитор</w:t>
      </w:r>
      <w:r w:rsidRPr="00E83783">
        <w:rPr>
          <w:color w:val="000000"/>
          <w:sz w:val="23"/>
          <w:szCs w:val="23"/>
        </w:rPr>
        <w:t xml:space="preserve"> является </w:t>
      </w:r>
      <w:r w:rsidR="00955B5B" w:rsidRPr="00E83783">
        <w:rPr>
          <w:color w:val="000000"/>
          <w:sz w:val="23"/>
          <w:szCs w:val="23"/>
        </w:rPr>
        <w:t>учредителем</w:t>
      </w:r>
      <w:r w:rsidRPr="00E83783">
        <w:rPr>
          <w:color w:val="000000"/>
          <w:sz w:val="23"/>
          <w:szCs w:val="23"/>
        </w:rPr>
        <w:t xml:space="preserve"> и ЕИО</w:t>
      </w:r>
      <w:r w:rsidR="00955B5B">
        <w:rPr>
          <w:color w:val="000000"/>
          <w:sz w:val="23"/>
          <w:szCs w:val="23"/>
        </w:rPr>
        <w:t>,</w:t>
      </w:r>
      <w:r w:rsidRPr="00E83783">
        <w:rPr>
          <w:color w:val="000000"/>
          <w:sz w:val="23"/>
          <w:szCs w:val="23"/>
        </w:rPr>
        <w:t xml:space="preserve"> в</w:t>
      </w:r>
      <w:r w:rsidRPr="00955B5B">
        <w:rPr>
          <w:color w:val="000000"/>
          <w:sz w:val="23"/>
          <w:szCs w:val="23"/>
        </w:rPr>
        <w:t xml:space="preserve"> план проверок ВКД на 2023 год</w:t>
      </w:r>
      <w:r w:rsidRPr="00955B5B">
        <w:rPr>
          <w:color w:val="000000"/>
          <w:sz w:val="23"/>
          <w:szCs w:val="23"/>
        </w:rPr>
        <w:t>. Кроме того, было принято решение р</w:t>
      </w:r>
      <w:r w:rsidRPr="00955B5B">
        <w:rPr>
          <w:color w:val="000000"/>
          <w:sz w:val="23"/>
          <w:szCs w:val="23"/>
        </w:rPr>
        <w:t xml:space="preserve">ассмотреть на очередном заседании Комитета вопрос о возможном нарушении </w:t>
      </w:r>
      <w:r w:rsidRPr="00955B5B">
        <w:rPr>
          <w:color w:val="000000"/>
          <w:sz w:val="23"/>
          <w:szCs w:val="23"/>
        </w:rPr>
        <w:t>аудитором К</w:t>
      </w:r>
      <w:r w:rsidRPr="00955B5B">
        <w:rPr>
          <w:color w:val="000000"/>
          <w:sz w:val="23"/>
          <w:szCs w:val="23"/>
        </w:rPr>
        <w:t xml:space="preserve">одекса </w:t>
      </w:r>
      <w:r w:rsidRPr="00955B5B">
        <w:rPr>
          <w:color w:val="000000"/>
          <w:sz w:val="23"/>
          <w:szCs w:val="23"/>
        </w:rPr>
        <w:t xml:space="preserve">профессиональной </w:t>
      </w:r>
      <w:r w:rsidRPr="00955B5B">
        <w:rPr>
          <w:color w:val="000000"/>
          <w:sz w:val="23"/>
          <w:szCs w:val="23"/>
        </w:rPr>
        <w:t>этики.</w:t>
      </w:r>
    </w:p>
    <w:p w14:paraId="3546E0CA" w14:textId="669E8E73" w:rsidR="000F22A6" w:rsidRDefault="000F22A6" w:rsidP="00955B5B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0F22A6">
        <w:rPr>
          <w:color w:val="000000"/>
          <w:sz w:val="23"/>
          <w:szCs w:val="23"/>
        </w:rPr>
        <w:t xml:space="preserve">По </w:t>
      </w:r>
      <w:r w:rsidR="004766E9">
        <w:rPr>
          <w:color w:val="000000"/>
          <w:sz w:val="23"/>
          <w:szCs w:val="23"/>
        </w:rPr>
        <w:t>двум</w:t>
      </w:r>
      <w:r>
        <w:rPr>
          <w:color w:val="000000"/>
          <w:sz w:val="23"/>
          <w:szCs w:val="23"/>
        </w:rPr>
        <w:t xml:space="preserve"> </w:t>
      </w:r>
      <w:r w:rsidRPr="000F22A6">
        <w:rPr>
          <w:color w:val="000000"/>
          <w:sz w:val="23"/>
          <w:szCs w:val="23"/>
        </w:rPr>
        <w:t>аудитор</w:t>
      </w:r>
      <w:r w:rsidR="004766E9">
        <w:rPr>
          <w:color w:val="000000"/>
          <w:sz w:val="23"/>
          <w:szCs w:val="23"/>
        </w:rPr>
        <w:t>ам</w:t>
      </w:r>
      <w:r w:rsidRPr="000F22A6">
        <w:rPr>
          <w:color w:val="000000"/>
          <w:sz w:val="23"/>
          <w:szCs w:val="23"/>
        </w:rPr>
        <w:t xml:space="preserve"> </w:t>
      </w:r>
      <w:r w:rsidR="00955B5B" w:rsidRPr="000F22A6">
        <w:rPr>
          <w:color w:val="000000"/>
          <w:sz w:val="23"/>
          <w:szCs w:val="23"/>
        </w:rPr>
        <w:t xml:space="preserve">и </w:t>
      </w:r>
      <w:r w:rsidR="00955B5B">
        <w:rPr>
          <w:color w:val="000000"/>
          <w:sz w:val="23"/>
          <w:szCs w:val="23"/>
        </w:rPr>
        <w:t>двум</w:t>
      </w:r>
      <w:r w:rsidR="004766E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аудиторск</w:t>
      </w:r>
      <w:r w:rsidR="00955B5B">
        <w:rPr>
          <w:color w:val="000000"/>
          <w:sz w:val="23"/>
          <w:szCs w:val="23"/>
        </w:rPr>
        <w:t>им</w:t>
      </w:r>
      <w:r w:rsidRPr="000F22A6">
        <w:rPr>
          <w:color w:val="000000"/>
          <w:sz w:val="23"/>
          <w:szCs w:val="23"/>
        </w:rPr>
        <w:t xml:space="preserve"> организаци</w:t>
      </w:r>
      <w:r w:rsidR="00955B5B">
        <w:rPr>
          <w:color w:val="000000"/>
          <w:sz w:val="23"/>
          <w:szCs w:val="23"/>
        </w:rPr>
        <w:t>ям</w:t>
      </w:r>
      <w:r w:rsidRPr="000F22A6">
        <w:rPr>
          <w:color w:val="000000"/>
          <w:sz w:val="23"/>
          <w:szCs w:val="23"/>
        </w:rPr>
        <w:t xml:space="preserve"> Комитет принял решение о </w:t>
      </w:r>
      <w:r>
        <w:rPr>
          <w:color w:val="000000"/>
          <w:sz w:val="23"/>
          <w:szCs w:val="23"/>
        </w:rPr>
        <w:t>не</w:t>
      </w:r>
      <w:r w:rsidRPr="000F22A6">
        <w:rPr>
          <w:color w:val="000000"/>
          <w:sz w:val="23"/>
          <w:szCs w:val="23"/>
        </w:rPr>
        <w:t>соответствии их требованиям к членству в части наличия безупречной деловой репутации.</w:t>
      </w:r>
      <w:r w:rsidRPr="00D64D5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Комитет мотивировал своё решение следующим:</w:t>
      </w:r>
    </w:p>
    <w:p w14:paraId="53343385" w14:textId="4F50CC53" w:rsidR="00960324" w:rsidRPr="00955B5B" w:rsidRDefault="00955B5B" w:rsidP="00955B5B">
      <w:pPr>
        <w:pStyle w:val="ListParagraph"/>
        <w:numPr>
          <w:ilvl w:val="0"/>
          <w:numId w:val="1"/>
        </w:numPr>
        <w:ind w:left="284" w:firstLine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960324" w:rsidRPr="00955B5B">
        <w:rPr>
          <w:color w:val="000000"/>
          <w:sz w:val="23"/>
          <w:szCs w:val="23"/>
        </w:rPr>
        <w:t xml:space="preserve">бнаруженные факты, а также пояснения </w:t>
      </w:r>
      <w:r w:rsidR="000F22A6" w:rsidRPr="00955B5B">
        <w:rPr>
          <w:color w:val="000000"/>
          <w:sz w:val="23"/>
          <w:szCs w:val="23"/>
        </w:rPr>
        <w:t>аудитора</w:t>
      </w:r>
      <w:r w:rsidR="00960324" w:rsidRPr="00955B5B">
        <w:rPr>
          <w:color w:val="000000"/>
          <w:sz w:val="23"/>
          <w:szCs w:val="23"/>
        </w:rPr>
        <w:t xml:space="preserve"> косвенно свидетельствуют об уклонении от прохождения </w:t>
      </w:r>
      <w:r w:rsidR="000F22A6" w:rsidRPr="00955B5B">
        <w:rPr>
          <w:color w:val="000000"/>
          <w:sz w:val="23"/>
          <w:szCs w:val="23"/>
        </w:rPr>
        <w:t xml:space="preserve">аудиторской организации </w:t>
      </w:r>
      <w:r w:rsidR="00960324" w:rsidRPr="00955B5B">
        <w:rPr>
          <w:color w:val="000000"/>
          <w:sz w:val="23"/>
          <w:szCs w:val="23"/>
        </w:rPr>
        <w:t>от проверки ВККР;</w:t>
      </w:r>
    </w:p>
    <w:p w14:paraId="14A95B39" w14:textId="53A7BB1C" w:rsidR="00960324" w:rsidRPr="00955B5B" w:rsidRDefault="00955B5B" w:rsidP="00955B5B">
      <w:pPr>
        <w:pStyle w:val="ListParagraph"/>
        <w:numPr>
          <w:ilvl w:val="0"/>
          <w:numId w:val="1"/>
        </w:numPr>
        <w:spacing w:line="276" w:lineRule="auto"/>
        <w:ind w:left="284" w:firstLine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r w:rsidR="00A811C1" w:rsidRPr="00955B5B">
        <w:rPr>
          <w:color w:val="000000"/>
          <w:sz w:val="23"/>
          <w:szCs w:val="23"/>
        </w:rPr>
        <w:t>удитор</w:t>
      </w:r>
      <w:r w:rsidR="00960324" w:rsidRPr="00955B5B">
        <w:rPr>
          <w:color w:val="000000"/>
          <w:sz w:val="23"/>
          <w:szCs w:val="23"/>
        </w:rPr>
        <w:t xml:space="preserve"> последнюю проверку ВККР проходил</w:t>
      </w:r>
      <w:r w:rsidR="00A811C1" w:rsidRPr="00955B5B">
        <w:rPr>
          <w:color w:val="000000"/>
          <w:sz w:val="23"/>
          <w:szCs w:val="23"/>
        </w:rPr>
        <w:t xml:space="preserve"> более пяти лет назад</w:t>
      </w:r>
      <w:r w:rsidR="00960324" w:rsidRPr="00955B5B">
        <w:rPr>
          <w:color w:val="000000"/>
          <w:sz w:val="23"/>
          <w:szCs w:val="23"/>
        </w:rPr>
        <w:t xml:space="preserve"> и не предпринимал возможных действий по прохождению данной проверки как самостоятельно, так и в составе </w:t>
      </w:r>
      <w:r w:rsidR="00A811C1" w:rsidRPr="00955B5B">
        <w:rPr>
          <w:color w:val="000000"/>
          <w:sz w:val="23"/>
          <w:szCs w:val="23"/>
        </w:rPr>
        <w:t>аудиторской организации</w:t>
      </w:r>
      <w:r w:rsidR="00960324" w:rsidRPr="00955B5B">
        <w:rPr>
          <w:color w:val="000000"/>
          <w:sz w:val="23"/>
          <w:szCs w:val="23"/>
        </w:rPr>
        <w:t>;</w:t>
      </w:r>
    </w:p>
    <w:p w14:paraId="401D4E62" w14:textId="79671492" w:rsidR="00960324" w:rsidRPr="00955B5B" w:rsidRDefault="00955B5B" w:rsidP="00955B5B">
      <w:pPr>
        <w:pStyle w:val="ListParagraph"/>
        <w:numPr>
          <w:ilvl w:val="0"/>
          <w:numId w:val="1"/>
        </w:numPr>
        <w:spacing w:line="276" w:lineRule="auto"/>
        <w:ind w:left="284" w:firstLine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r w:rsidR="00E83783" w:rsidRPr="00955B5B">
        <w:rPr>
          <w:color w:val="000000"/>
          <w:sz w:val="23"/>
          <w:szCs w:val="23"/>
        </w:rPr>
        <w:t xml:space="preserve"> отношении второго </w:t>
      </w:r>
      <w:r w:rsidRPr="00955B5B">
        <w:rPr>
          <w:color w:val="000000"/>
          <w:sz w:val="23"/>
          <w:szCs w:val="23"/>
        </w:rPr>
        <w:t xml:space="preserve">учредителя </w:t>
      </w:r>
      <w:r>
        <w:rPr>
          <w:color w:val="000000"/>
          <w:sz w:val="23"/>
          <w:szCs w:val="23"/>
        </w:rPr>
        <w:t xml:space="preserve">аудиторской организации </w:t>
      </w:r>
      <w:r w:rsidRPr="00955B5B">
        <w:rPr>
          <w:color w:val="000000"/>
          <w:sz w:val="23"/>
          <w:szCs w:val="23"/>
        </w:rPr>
        <w:t>была применена</w:t>
      </w:r>
      <w:r w:rsidR="00960324" w:rsidRPr="00955B5B">
        <w:rPr>
          <w:color w:val="000000"/>
          <w:sz w:val="23"/>
          <w:szCs w:val="23"/>
        </w:rPr>
        <w:t xml:space="preserve"> мера воздействия в виде исключения из членов СРО ААС </w:t>
      </w:r>
      <w:r w:rsidR="00E83783" w:rsidRPr="00955B5B">
        <w:rPr>
          <w:color w:val="000000"/>
          <w:sz w:val="23"/>
          <w:szCs w:val="23"/>
        </w:rPr>
        <w:t>за п</w:t>
      </w:r>
      <w:r w:rsidR="00960324" w:rsidRPr="00955B5B">
        <w:rPr>
          <w:color w:val="000000"/>
          <w:sz w:val="23"/>
          <w:szCs w:val="23"/>
        </w:rPr>
        <w:t>одписание</w:t>
      </w:r>
      <w:r w:rsidR="00E83783" w:rsidRPr="00955B5B">
        <w:rPr>
          <w:color w:val="000000"/>
          <w:sz w:val="23"/>
          <w:szCs w:val="23"/>
        </w:rPr>
        <w:t xml:space="preserve"> им</w:t>
      </w:r>
      <w:r w:rsidR="00960324" w:rsidRPr="00955B5B">
        <w:rPr>
          <w:color w:val="000000"/>
          <w:sz w:val="23"/>
          <w:szCs w:val="23"/>
        </w:rPr>
        <w:t xml:space="preserve"> аудиторского заключения, которое в соответствии со вступившим в законную силу судебным актом признано заведомо ложным.</w:t>
      </w:r>
    </w:p>
    <w:p w14:paraId="762BDF1D" w14:textId="7BC526D1" w:rsidR="00960324" w:rsidRPr="00955B5B" w:rsidRDefault="00960324" w:rsidP="00955B5B">
      <w:pPr>
        <w:pStyle w:val="ListParagraph"/>
        <w:numPr>
          <w:ilvl w:val="0"/>
          <w:numId w:val="3"/>
        </w:numPr>
        <w:ind w:left="284" w:firstLine="0"/>
        <w:contextualSpacing w:val="0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lastRenderedPageBreak/>
        <w:t xml:space="preserve">являясь учредителем и единоличным исполнительным </w:t>
      </w:r>
      <w:r w:rsidR="00955B5B" w:rsidRPr="00955B5B">
        <w:rPr>
          <w:color w:val="000000"/>
          <w:sz w:val="23"/>
          <w:szCs w:val="23"/>
        </w:rPr>
        <w:t>органом аудиторских</w:t>
      </w:r>
      <w:r w:rsidR="004766E9" w:rsidRPr="00955B5B">
        <w:rPr>
          <w:color w:val="000000"/>
          <w:sz w:val="23"/>
          <w:szCs w:val="23"/>
        </w:rPr>
        <w:t xml:space="preserve"> </w:t>
      </w:r>
      <w:r w:rsidR="00955B5B">
        <w:rPr>
          <w:color w:val="000000"/>
          <w:sz w:val="23"/>
          <w:szCs w:val="23"/>
        </w:rPr>
        <w:t>организаций</w:t>
      </w:r>
      <w:r w:rsidR="00955B5B" w:rsidRPr="00955B5B">
        <w:rPr>
          <w:color w:val="000000"/>
          <w:sz w:val="23"/>
          <w:szCs w:val="23"/>
        </w:rPr>
        <w:t>,</w:t>
      </w:r>
      <w:r w:rsidR="004766E9" w:rsidRPr="00955B5B">
        <w:rPr>
          <w:color w:val="000000"/>
          <w:sz w:val="23"/>
          <w:szCs w:val="23"/>
        </w:rPr>
        <w:t xml:space="preserve"> </w:t>
      </w:r>
      <w:r w:rsidR="00955B5B" w:rsidRPr="00955B5B">
        <w:rPr>
          <w:color w:val="000000"/>
          <w:sz w:val="23"/>
          <w:szCs w:val="23"/>
        </w:rPr>
        <w:t>аудитор не</w:t>
      </w:r>
      <w:r w:rsidRPr="00955B5B">
        <w:rPr>
          <w:color w:val="000000"/>
          <w:sz w:val="23"/>
          <w:szCs w:val="23"/>
        </w:rPr>
        <w:t xml:space="preserve"> предпринимал требуемые действия по прохождению данными организациями и их сотрудниками проверок ВККР, что может свидетельствовать о ненадлежащем исполнении обязанностей действовать в интересах данных юридических лиц разумно и добросовестно;</w:t>
      </w:r>
    </w:p>
    <w:p w14:paraId="0CAD20AD" w14:textId="33F87C5C" w:rsidR="00960324" w:rsidRPr="00955B5B" w:rsidRDefault="00960324" w:rsidP="00955B5B">
      <w:pPr>
        <w:pStyle w:val="ListParagraph"/>
        <w:numPr>
          <w:ilvl w:val="0"/>
          <w:numId w:val="3"/>
        </w:numPr>
        <w:ind w:left="284" w:firstLine="0"/>
        <w:contextualSpacing w:val="0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t xml:space="preserve">являясь учредителем и ЕИО </w:t>
      </w:r>
      <w:r w:rsidR="00955B5B" w:rsidRPr="00955B5B">
        <w:rPr>
          <w:color w:val="000000"/>
          <w:sz w:val="23"/>
          <w:szCs w:val="23"/>
        </w:rPr>
        <w:t xml:space="preserve">в </w:t>
      </w:r>
      <w:r w:rsidR="00955B5B">
        <w:rPr>
          <w:color w:val="000000"/>
          <w:sz w:val="23"/>
          <w:szCs w:val="23"/>
        </w:rPr>
        <w:t>аудитор</w:t>
      </w:r>
      <w:r w:rsidR="00955B5B" w:rsidRPr="00955B5B">
        <w:rPr>
          <w:color w:val="000000"/>
          <w:sz w:val="23"/>
          <w:szCs w:val="23"/>
        </w:rPr>
        <w:t>ских организациях,</w:t>
      </w:r>
      <w:r w:rsidR="004766E9" w:rsidRPr="00955B5B">
        <w:rPr>
          <w:color w:val="000000"/>
          <w:sz w:val="23"/>
          <w:szCs w:val="23"/>
        </w:rPr>
        <w:t xml:space="preserve"> аудитор</w:t>
      </w:r>
      <w:r w:rsidRPr="00955B5B">
        <w:rPr>
          <w:color w:val="000000"/>
          <w:sz w:val="23"/>
          <w:szCs w:val="23"/>
        </w:rPr>
        <w:t xml:space="preserve"> не предпринимал необходимые действия по устранению нарушений, которые стали основанием для прекращения членства указанных организаций в СРО ААС, что также свидетельствует о ненадлежащем исполнении обязанностей действовать в интересах юридического лица разумно и добросовестно;</w:t>
      </w:r>
    </w:p>
    <w:p w14:paraId="5932F8A1" w14:textId="77777777" w:rsidR="00960324" w:rsidRPr="00955B5B" w:rsidRDefault="00960324" w:rsidP="00955B5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20090B0" w14:textId="619C381F" w:rsidR="00D82A9C" w:rsidRPr="00955B5B" w:rsidRDefault="00960324" w:rsidP="00955B5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второму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Комитетом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были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рассмотрены четыре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жалобы. 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трём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были обнаружены нарушения Кодекса профессиональной этики аудиторов и заключение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Комитета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было решено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направить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Дисциплинарную комиссию СРО ААС.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одной жалобе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 пришё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выводу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отсутствии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нарушен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ий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требовани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Кодекса профессиональной этики аудиторов.</w:t>
      </w:r>
    </w:p>
    <w:p w14:paraId="723E8514" w14:textId="77777777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14C3A0B" w14:textId="4E424435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третьему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сообщила, что на повестке дня вопрос о переходных положениях для новых редакций Кодекса профессиональной этики и Правил независимости СРО ААС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которые будут введены в действие в 2023 году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14:paraId="745B87F1" w14:textId="77777777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целей введения в действие новых редакций Кодекса профессиональной этики и Правил независимости СРО ААС необходимо разработать и утвердить документ СРО ААС, касающийся даты, с которой будут применяться вводимые изменения и переходных положений. </w:t>
      </w:r>
    </w:p>
    <w:p w14:paraId="43917A96" w14:textId="5431F61A" w:rsidR="00960324" w:rsidRPr="00955B5B" w:rsidRDefault="00955B5B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 решил создать рабочую группу для </w:t>
      </w:r>
      <w:r w:rsidR="00960324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</w:t>
      </w:r>
      <w:r w:rsidR="00960324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документ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а,</w:t>
      </w:r>
      <w:r w:rsidR="00960324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касающ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егося</w:t>
      </w:r>
      <w:r w:rsidR="00960324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переходных положений по введению в действие Кодекса профессиональной этики и Правил независимости СРО ААС.</w:t>
      </w:r>
    </w:p>
    <w:p w14:paraId="72A8F235" w14:textId="4B3311FA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5B234C3D" w14:textId="7BCB08EA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четвёртому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ыступила Папуша О.В.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сообщила, что от Правления СРО ААС поступило поручение в Комитет о рассмотрении письма МФ РФ, касающегося плана мероприятий по вопросу взаимодействия с аудиторами на новых территориях и подготовке предложения от Комитета по данному вопросу. Члены Комитета обсудили данное поручение и высказали мнение, что для начала работы с аудиторским сообществом на данных территориях необходимо получить реестр/контакты аудиторов и аудиторских организаций, а также изучить вопрос, как и когда будут применяться на новых территориях ФСБУ и МСА.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остальном, члены Комитета поддерживают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мероприятия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указанные в письме МФ РФ.</w:t>
      </w:r>
    </w:p>
    <w:p w14:paraId="26EB3807" w14:textId="77777777" w:rsidR="00960324" w:rsidRPr="00955B5B" w:rsidRDefault="00960324" w:rsidP="00955B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73AEB2F" w14:textId="0D987C0F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пятому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вопросу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сообщила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что на повестке дня для рассмотрения представлен Регламент проведения региональных мероприятий СРО ААС по профильной области КПЭН. 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 разослан членам Комитета ранее для ознакомления.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решили у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твердить Регламент проведения региональных мероприятий СРО ААС по профильной области КПЭН и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направить на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рассмотрение в Правление.</w:t>
      </w:r>
    </w:p>
    <w:p w14:paraId="1A5D2665" w14:textId="77777777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A484445" w14:textId="4EF719E1" w:rsidR="00960324" w:rsidRPr="00955B5B" w:rsidRDefault="00960324" w:rsidP="00955B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шестому 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сообщила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 02.12.2022 было проведено совместное заседание Комитета и Дисциплинарной комиссии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 ААС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От Дисциплинарной комиссии были получены комментарии и пожелания по организации совместной работы.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п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риня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информацию к сведению.</w:t>
      </w:r>
      <w:bookmarkStart w:id="0" w:name="_GoBack"/>
      <w:bookmarkEnd w:id="0"/>
    </w:p>
    <w:sectPr w:rsidR="00960324" w:rsidRPr="00955B5B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0F22A6"/>
    <w:rsid w:val="00121DBA"/>
    <w:rsid w:val="001236A8"/>
    <w:rsid w:val="001A2CB3"/>
    <w:rsid w:val="00226576"/>
    <w:rsid w:val="00243EDD"/>
    <w:rsid w:val="002D242E"/>
    <w:rsid w:val="00346DA5"/>
    <w:rsid w:val="00363F28"/>
    <w:rsid w:val="004674C5"/>
    <w:rsid w:val="004766E9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972FE"/>
    <w:rsid w:val="006A06B3"/>
    <w:rsid w:val="007578D5"/>
    <w:rsid w:val="0076009C"/>
    <w:rsid w:val="007632EA"/>
    <w:rsid w:val="007B1645"/>
    <w:rsid w:val="008C5574"/>
    <w:rsid w:val="008C5DC9"/>
    <w:rsid w:val="008F1A73"/>
    <w:rsid w:val="00955B5B"/>
    <w:rsid w:val="00960324"/>
    <w:rsid w:val="00981BF2"/>
    <w:rsid w:val="009918D2"/>
    <w:rsid w:val="00A02544"/>
    <w:rsid w:val="00A64408"/>
    <w:rsid w:val="00A811C1"/>
    <w:rsid w:val="00A87B5D"/>
    <w:rsid w:val="00AB1858"/>
    <w:rsid w:val="00AC4892"/>
    <w:rsid w:val="00B0240A"/>
    <w:rsid w:val="00B06E6C"/>
    <w:rsid w:val="00B65F08"/>
    <w:rsid w:val="00B80469"/>
    <w:rsid w:val="00BB7186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773D3"/>
    <w:rsid w:val="00D82A9C"/>
    <w:rsid w:val="00DB17F5"/>
    <w:rsid w:val="00E11AE7"/>
    <w:rsid w:val="00E83783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78F3-ACB7-483F-954C-74D5C04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cp:lastPrinted>2022-10-31T09:45:00Z</cp:lastPrinted>
  <dcterms:created xsi:type="dcterms:W3CDTF">2023-02-10T15:02:00Z</dcterms:created>
  <dcterms:modified xsi:type="dcterms:W3CDTF">2023-02-10T15:02:00Z</dcterms:modified>
</cp:coreProperties>
</file>