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40"/>
        <w:tblW w:w="10809" w:type="dxa"/>
        <w:tblLayout w:type="fixed"/>
        <w:tblLook w:val="01E0" w:firstRow="1" w:lastRow="1" w:firstColumn="1" w:lastColumn="1" w:noHBand="0" w:noVBand="0"/>
      </w:tblPr>
      <w:tblGrid>
        <w:gridCol w:w="2303"/>
        <w:gridCol w:w="7620"/>
        <w:gridCol w:w="886"/>
      </w:tblGrid>
      <w:tr w:rsidR="00281DEC" w:rsidRPr="00281DEC" w:rsidTr="00281DEC">
        <w:trPr>
          <w:trHeight w:val="1246"/>
        </w:trPr>
        <w:tc>
          <w:tcPr>
            <w:tcW w:w="2303" w:type="dxa"/>
            <w:vMerge w:val="restart"/>
          </w:tcPr>
          <w:p w:rsidR="00281DEC" w:rsidRPr="00281DEC" w:rsidRDefault="00281DEC" w:rsidP="00DC185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DEC">
              <w:rPr>
                <w:rFonts w:eastAsia="Times New Roman" w:cs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1EB1040B" wp14:editId="07F4CF59">
                  <wp:extent cx="1084094" cy="1123950"/>
                  <wp:effectExtent l="0" t="0" r="1905" b="0"/>
                  <wp:docPr id="1" name="Рисунок 1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091" cy="113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</w:tcPr>
          <w:p w:rsidR="00281DEC" w:rsidRPr="00281DEC" w:rsidRDefault="00281DEC" w:rsidP="00DC1857">
            <w:pPr>
              <w:spacing w:after="0" w:line="240" w:lineRule="auto"/>
              <w:ind w:right="-187"/>
              <w:jc w:val="center"/>
              <w:rPr>
                <w:rFonts w:eastAsia="Times New Roman" w:cs="Arial"/>
                <w:b/>
                <w:color w:val="000000"/>
                <w:szCs w:val="28"/>
                <w:lang w:eastAsia="ru-RU"/>
              </w:rPr>
            </w:pPr>
            <w:r w:rsidRPr="00281DEC">
              <w:rPr>
                <w:rFonts w:eastAsia="Times New Roman" w:cs="Arial"/>
                <w:b/>
                <w:color w:val="000000"/>
                <w:szCs w:val="28"/>
                <w:lang w:eastAsia="ru-RU"/>
              </w:rPr>
              <w:t>САМОРЕГУЛИРУЕМАЯ ОРГАНИЗАЦИЯ АУДИТОРОВ</w:t>
            </w:r>
          </w:p>
          <w:p w:rsidR="00281DEC" w:rsidRPr="00281DEC" w:rsidRDefault="00281DEC" w:rsidP="00DC1857">
            <w:pPr>
              <w:spacing w:after="0" w:line="240" w:lineRule="auto"/>
              <w:ind w:right="-187"/>
              <w:jc w:val="center"/>
              <w:rPr>
                <w:rFonts w:eastAsia="Times New Roman" w:cs="Arial"/>
                <w:b/>
                <w:color w:val="000000"/>
                <w:sz w:val="22"/>
                <w:lang w:eastAsia="ru-RU"/>
              </w:rPr>
            </w:pPr>
            <w:r w:rsidRPr="00281DEC">
              <w:rPr>
                <w:rFonts w:eastAsia="Times New Roman" w:cs="Arial"/>
                <w:b/>
                <w:color w:val="000000"/>
                <w:sz w:val="32"/>
                <w:szCs w:val="32"/>
                <w:lang w:eastAsia="ru-RU"/>
              </w:rPr>
              <w:t>АССОЦИАЦИЯ «СОДРУЖЕСТВО»</w:t>
            </w:r>
            <w:r w:rsidRPr="00281DEC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281DEC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281DE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член Международной Федерации Бухгалтеров (</w:t>
            </w:r>
            <w:r w:rsidRPr="00281DEC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IFAC</w:t>
            </w:r>
            <w:r w:rsidRPr="00281DE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)</w:t>
            </w:r>
          </w:p>
          <w:p w:rsidR="00281DEC" w:rsidRPr="00281DEC" w:rsidRDefault="00281DEC" w:rsidP="00DC1857">
            <w:pPr>
              <w:pBdr>
                <w:bottom w:val="single" w:sz="12" w:space="1" w:color="auto"/>
              </w:pBdr>
              <w:spacing w:after="0" w:line="240" w:lineRule="auto"/>
              <w:ind w:right="-187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81DE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(ОГРН 1097799010870,</w:t>
            </w:r>
            <w:r w:rsidRPr="00281DEC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81DE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ИНН 7729440813, КПП 772901001)</w:t>
            </w:r>
            <w:r w:rsidRPr="00281D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6" w:type="dxa"/>
            <w:vMerge w:val="restart"/>
            <w:tcBorders>
              <w:left w:val="nil"/>
            </w:tcBorders>
          </w:tcPr>
          <w:p w:rsidR="00281DEC" w:rsidRPr="00281DEC" w:rsidRDefault="00281DEC" w:rsidP="00DC185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</w:p>
          <w:p w:rsidR="00281DEC" w:rsidRPr="00281DEC" w:rsidRDefault="00281DEC" w:rsidP="00DC185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81DEC" w:rsidRPr="00281DEC" w:rsidRDefault="00281DEC" w:rsidP="00DC185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81DEC">
              <w:rPr>
                <w:rFonts w:eastAsia="Times New Roman" w:cs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55C34965" wp14:editId="3FE38D25">
                  <wp:extent cx="552450" cy="4286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81DEC" w:rsidRPr="00281DEC" w:rsidRDefault="00281DEC" w:rsidP="00DC1857">
            <w:pPr>
              <w:spacing w:after="0" w:line="240" w:lineRule="auto"/>
              <w:ind w:right="-187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281DEC" w:rsidRPr="00281DEC" w:rsidTr="00281DEC">
        <w:trPr>
          <w:trHeight w:val="838"/>
        </w:trPr>
        <w:tc>
          <w:tcPr>
            <w:tcW w:w="2303" w:type="dxa"/>
            <w:vMerge/>
          </w:tcPr>
          <w:p w:rsidR="00281DEC" w:rsidRPr="00281DEC" w:rsidRDefault="00281DEC" w:rsidP="00DC18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281DEC" w:rsidRPr="00281DEC" w:rsidRDefault="00281DEC" w:rsidP="00DC1857">
            <w:pPr>
              <w:spacing w:after="0" w:line="240" w:lineRule="auto"/>
              <w:ind w:right="-187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281DEC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119192, г. Москва, Мичуринский проспект, дом 21, корпус 4. </w:t>
            </w:r>
          </w:p>
          <w:p w:rsidR="00281DEC" w:rsidRPr="00281DEC" w:rsidRDefault="00281DEC" w:rsidP="00DC1857">
            <w:pPr>
              <w:spacing w:after="0" w:line="240" w:lineRule="auto"/>
              <w:ind w:righ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81DEC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т: +7 (495) 734-22-22, ф: +7 (495) 734-04-22, </w:t>
            </w:r>
            <w:hyperlink r:id="rId10" w:history="1">
              <w:r w:rsidRPr="00281DEC">
                <w:rPr>
                  <w:rFonts w:eastAsia="Times New Roman" w:cs="Arial"/>
                  <w:color w:val="000000"/>
                  <w:sz w:val="18"/>
                  <w:szCs w:val="18"/>
                  <w:lang w:eastAsia="ru-RU"/>
                </w:rPr>
                <w:t>www.auditor-sro.org</w:t>
              </w:r>
            </w:hyperlink>
            <w:r w:rsidRPr="00281DEC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, info@auditor-sro.org</w:t>
            </w:r>
            <w:r w:rsidRPr="00281DE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6" w:type="dxa"/>
            <w:vMerge/>
            <w:tcBorders>
              <w:left w:val="nil"/>
            </w:tcBorders>
          </w:tcPr>
          <w:p w:rsidR="00281DEC" w:rsidRPr="00281DEC" w:rsidRDefault="00281DEC" w:rsidP="00DC1857">
            <w:pPr>
              <w:spacing w:after="0" w:line="240" w:lineRule="auto"/>
              <w:ind w:right="-187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</w:tbl>
    <w:p w:rsidR="00281DEC" w:rsidRPr="000C645C" w:rsidRDefault="00F97496" w:rsidP="00DC1857">
      <w:pPr>
        <w:spacing w:after="0" w:line="240" w:lineRule="auto"/>
        <w:jc w:val="center"/>
        <w:rPr>
          <w:rFonts w:eastAsia="Calibri" w:cs="Times New Roman"/>
          <w:b/>
          <w:sz w:val="26"/>
          <w:szCs w:val="26"/>
        </w:rPr>
      </w:pPr>
      <w:r>
        <w:rPr>
          <w:rFonts w:eastAsia="Calibri" w:cs="Times New Roman"/>
          <w:b/>
          <w:sz w:val="26"/>
          <w:szCs w:val="26"/>
        </w:rPr>
        <w:t xml:space="preserve">Пресс-релиз </w:t>
      </w:r>
      <w:r w:rsidR="00281DEC" w:rsidRPr="000C645C">
        <w:rPr>
          <w:rFonts w:eastAsia="Calibri" w:cs="Times New Roman"/>
          <w:b/>
          <w:sz w:val="26"/>
          <w:szCs w:val="26"/>
        </w:rPr>
        <w:t xml:space="preserve">Заседания Комитета </w:t>
      </w:r>
    </w:p>
    <w:p w:rsidR="00281DEC" w:rsidRPr="000C645C" w:rsidRDefault="00281DEC" w:rsidP="00DC1857">
      <w:pPr>
        <w:spacing w:after="0" w:line="240" w:lineRule="auto"/>
        <w:jc w:val="center"/>
        <w:rPr>
          <w:rFonts w:eastAsia="Calibri" w:cs="Times New Roman"/>
          <w:b/>
          <w:sz w:val="26"/>
          <w:szCs w:val="26"/>
        </w:rPr>
      </w:pPr>
      <w:r w:rsidRPr="000C645C">
        <w:rPr>
          <w:rFonts w:eastAsia="Calibri" w:cs="Times New Roman"/>
          <w:b/>
          <w:sz w:val="26"/>
          <w:szCs w:val="26"/>
        </w:rPr>
        <w:t>по профессиональной этике и независимости аудиторов СРО ААС</w:t>
      </w:r>
    </w:p>
    <w:p w:rsidR="00281DEC" w:rsidRPr="000C645C" w:rsidRDefault="00281DEC" w:rsidP="00DC1857">
      <w:pPr>
        <w:spacing w:after="0" w:line="240" w:lineRule="auto"/>
        <w:rPr>
          <w:rFonts w:eastAsia="Calibri" w:cs="Times New Roman"/>
          <w:sz w:val="26"/>
          <w:szCs w:val="26"/>
        </w:rPr>
      </w:pPr>
    </w:p>
    <w:p w:rsidR="00DC1857" w:rsidRDefault="00F97496" w:rsidP="00DC1857">
      <w:pPr>
        <w:pStyle w:val="NormalWeb"/>
        <w:spacing w:before="0" w:beforeAutospacing="0" w:after="0" w:afterAutospacing="0"/>
        <w:rPr>
          <w:rFonts w:eastAsia="Calibri"/>
          <w:sz w:val="26"/>
          <w:szCs w:val="26"/>
          <w:lang w:eastAsia="en-US"/>
        </w:rPr>
      </w:pPr>
      <w:r w:rsidRPr="00DC1857">
        <w:rPr>
          <w:rFonts w:eastAsia="Calibri"/>
          <w:sz w:val="26"/>
          <w:szCs w:val="26"/>
          <w:lang w:eastAsia="en-US"/>
        </w:rPr>
        <w:t>2</w:t>
      </w:r>
      <w:r w:rsidRPr="00DC1857">
        <w:rPr>
          <w:rFonts w:eastAsia="Calibri"/>
          <w:sz w:val="26"/>
          <w:szCs w:val="26"/>
          <w:lang w:eastAsia="en-US"/>
        </w:rPr>
        <w:t>2 декабря 2020</w:t>
      </w:r>
      <w:r w:rsidRPr="00DC1857">
        <w:rPr>
          <w:rFonts w:eastAsia="Calibri"/>
          <w:sz w:val="26"/>
          <w:szCs w:val="26"/>
          <w:lang w:eastAsia="en-US"/>
        </w:rPr>
        <w:t xml:space="preserve"> в очной форме (дистанционно) состоялось заседание комитета по профессиональной этике и независимости аудиторов СРО ААС (далее – комитет, КНЭП).</w:t>
      </w:r>
    </w:p>
    <w:p w:rsidR="00DC1857" w:rsidRDefault="00DC1857" w:rsidP="00DC1857">
      <w:pPr>
        <w:pStyle w:val="NormalWeb"/>
        <w:spacing w:before="0" w:beforeAutospacing="0" w:after="0" w:afterAutospacing="0"/>
        <w:rPr>
          <w:rFonts w:eastAsia="Calibri"/>
          <w:sz w:val="26"/>
          <w:szCs w:val="26"/>
          <w:lang w:eastAsia="en-US"/>
        </w:rPr>
      </w:pPr>
    </w:p>
    <w:p w:rsidR="00F97496" w:rsidRPr="00DC1857" w:rsidRDefault="00F97496" w:rsidP="00DC1857">
      <w:pPr>
        <w:pStyle w:val="NormalWeb"/>
        <w:spacing w:before="0" w:beforeAutospacing="0" w:after="0" w:afterAutospacing="0"/>
        <w:rPr>
          <w:rFonts w:eastAsia="Calibri"/>
          <w:sz w:val="26"/>
          <w:szCs w:val="26"/>
          <w:lang w:eastAsia="en-US"/>
        </w:rPr>
      </w:pPr>
      <w:r w:rsidRPr="00DC1857">
        <w:rPr>
          <w:rFonts w:eastAsia="Calibri"/>
          <w:sz w:val="26"/>
          <w:szCs w:val="26"/>
          <w:lang w:eastAsia="en-US"/>
        </w:rPr>
        <w:t>На заседании были рассмотрены:</w:t>
      </w:r>
    </w:p>
    <w:p w:rsidR="00D33251" w:rsidRPr="00DC1857" w:rsidRDefault="00F97496" w:rsidP="00DC1857">
      <w:pPr>
        <w:pStyle w:val="ListParagraph"/>
        <w:numPr>
          <w:ilvl w:val="0"/>
          <w:numId w:val="7"/>
        </w:numPr>
        <w:spacing w:after="0" w:line="240" w:lineRule="auto"/>
        <w:ind w:left="142" w:hanging="142"/>
        <w:jc w:val="both"/>
        <w:rPr>
          <w:rFonts w:eastAsia="Calibri" w:cs="Times New Roman"/>
          <w:sz w:val="26"/>
          <w:szCs w:val="26"/>
        </w:rPr>
      </w:pPr>
      <w:r w:rsidRPr="00DC1857">
        <w:rPr>
          <w:rFonts w:eastAsia="Calibri" w:cs="Times New Roman"/>
          <w:sz w:val="26"/>
          <w:szCs w:val="26"/>
        </w:rPr>
        <w:t>П</w:t>
      </w:r>
      <w:r w:rsidR="00E1389A" w:rsidRPr="00DC1857">
        <w:rPr>
          <w:rFonts w:eastAsia="Calibri" w:cs="Times New Roman"/>
          <w:sz w:val="26"/>
          <w:szCs w:val="26"/>
        </w:rPr>
        <w:t>роект декларации добросовестного участника аудиторских услуг для стран-участников ЕАЭС</w:t>
      </w:r>
      <w:r w:rsidR="00D33251" w:rsidRPr="00DC1857">
        <w:rPr>
          <w:rFonts w:eastAsia="Calibri" w:cs="Times New Roman"/>
          <w:sz w:val="26"/>
          <w:szCs w:val="26"/>
        </w:rPr>
        <w:t>;</w:t>
      </w:r>
    </w:p>
    <w:p w:rsidR="00751CA6" w:rsidRPr="00DC1857" w:rsidRDefault="00717AB8" w:rsidP="00DC1857">
      <w:pPr>
        <w:pStyle w:val="ListParagraph"/>
        <w:numPr>
          <w:ilvl w:val="0"/>
          <w:numId w:val="7"/>
        </w:numPr>
        <w:spacing w:after="0" w:line="240" w:lineRule="auto"/>
        <w:ind w:left="142" w:hanging="142"/>
        <w:jc w:val="both"/>
        <w:rPr>
          <w:rFonts w:eastAsia="Calibri" w:cs="Times New Roman"/>
          <w:sz w:val="26"/>
          <w:szCs w:val="26"/>
        </w:rPr>
      </w:pPr>
      <w:r w:rsidRPr="00DC1857">
        <w:rPr>
          <w:rFonts w:eastAsia="Calibri" w:cs="Times New Roman"/>
          <w:sz w:val="26"/>
          <w:szCs w:val="26"/>
        </w:rPr>
        <w:t>П</w:t>
      </w:r>
      <w:r w:rsidR="00751CA6" w:rsidRPr="00DC1857">
        <w:rPr>
          <w:rFonts w:eastAsia="Calibri" w:cs="Times New Roman"/>
          <w:sz w:val="26"/>
          <w:szCs w:val="26"/>
        </w:rPr>
        <w:t>оступившие в Комитет</w:t>
      </w:r>
      <w:r w:rsidR="00D33251" w:rsidRPr="00DC1857">
        <w:rPr>
          <w:rFonts w:eastAsia="Calibri" w:cs="Times New Roman"/>
          <w:sz w:val="26"/>
          <w:szCs w:val="26"/>
        </w:rPr>
        <w:t xml:space="preserve"> жалоб</w:t>
      </w:r>
      <w:r w:rsidR="00751CA6" w:rsidRPr="00DC1857">
        <w:rPr>
          <w:rFonts w:eastAsia="Calibri" w:cs="Times New Roman"/>
          <w:sz w:val="26"/>
          <w:szCs w:val="26"/>
        </w:rPr>
        <w:t>ы;</w:t>
      </w:r>
    </w:p>
    <w:p w:rsidR="00751CA6" w:rsidRPr="00DC1857" w:rsidRDefault="00751CA6" w:rsidP="00DC1857">
      <w:pPr>
        <w:pStyle w:val="ListParagraph"/>
        <w:numPr>
          <w:ilvl w:val="0"/>
          <w:numId w:val="7"/>
        </w:numPr>
        <w:spacing w:after="0" w:line="240" w:lineRule="auto"/>
        <w:ind w:left="142" w:hanging="142"/>
        <w:jc w:val="both"/>
        <w:rPr>
          <w:rFonts w:eastAsia="Calibri" w:cs="Times New Roman"/>
          <w:sz w:val="26"/>
          <w:szCs w:val="26"/>
        </w:rPr>
      </w:pPr>
      <w:r w:rsidRPr="00DC1857">
        <w:rPr>
          <w:rFonts w:eastAsia="Calibri" w:cs="Times New Roman"/>
          <w:sz w:val="26"/>
          <w:szCs w:val="26"/>
        </w:rPr>
        <w:t xml:space="preserve"> Прочие вопросы.</w:t>
      </w:r>
    </w:p>
    <w:p w:rsidR="001B1C93" w:rsidRPr="000C645C" w:rsidRDefault="001B1C93" w:rsidP="00DC1857">
      <w:pPr>
        <w:spacing w:after="0" w:line="240" w:lineRule="auto"/>
        <w:rPr>
          <w:b/>
          <w:i/>
          <w:sz w:val="26"/>
          <w:szCs w:val="26"/>
          <w:u w:val="single"/>
        </w:rPr>
      </w:pPr>
    </w:p>
    <w:p w:rsidR="000C645C" w:rsidRDefault="00751CA6" w:rsidP="00DC1857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bCs/>
          <w:iCs/>
          <w:sz w:val="26"/>
          <w:szCs w:val="26"/>
        </w:rPr>
        <w:t>По первому вопросу в</w:t>
      </w:r>
      <w:r w:rsidR="000C645C">
        <w:rPr>
          <w:rFonts w:eastAsia="Calibri" w:cs="Times New Roman"/>
          <w:sz w:val="26"/>
          <w:szCs w:val="26"/>
        </w:rPr>
        <w:t xml:space="preserve">ыступил Никифоров С.Л. </w:t>
      </w:r>
      <w:r>
        <w:rPr>
          <w:rFonts w:eastAsia="Calibri" w:cs="Times New Roman"/>
          <w:sz w:val="26"/>
          <w:szCs w:val="26"/>
        </w:rPr>
        <w:t xml:space="preserve">и </w:t>
      </w:r>
      <w:r w:rsidR="000C645C">
        <w:rPr>
          <w:rFonts w:eastAsia="Calibri" w:cs="Times New Roman"/>
          <w:sz w:val="26"/>
          <w:szCs w:val="26"/>
        </w:rPr>
        <w:t xml:space="preserve">сообщил, что 19 ноября 2020г. состоялось заседание рабочей группы по евразийскому пространству аудиторских компаний </w:t>
      </w:r>
      <w:r w:rsidR="004B7108">
        <w:rPr>
          <w:rFonts w:eastAsia="Calibri" w:cs="Times New Roman"/>
          <w:sz w:val="26"/>
          <w:szCs w:val="26"/>
        </w:rPr>
        <w:t xml:space="preserve">ЕАЭС и рабочей группы по выявлению случаев недобросовестной конкуренции </w:t>
      </w:r>
      <w:r w:rsidR="00172142">
        <w:rPr>
          <w:rFonts w:eastAsia="Calibri" w:cs="Times New Roman"/>
          <w:sz w:val="26"/>
          <w:szCs w:val="26"/>
        </w:rPr>
        <w:t>и повышения качества аудита. Учитывая имеющиеся пробелы в законодательстве стран ЕАЭС регулирующие аудиторскую деятельность, а также создание единого рынка аудиторских услуг в 2022 году</w:t>
      </w:r>
      <w:r w:rsidR="00DC1857">
        <w:rPr>
          <w:rFonts w:eastAsia="Calibri" w:cs="Times New Roman"/>
          <w:sz w:val="26"/>
          <w:szCs w:val="26"/>
        </w:rPr>
        <w:t>, Никифоров С.Л.</w:t>
      </w:r>
      <w:r w:rsidR="00172142">
        <w:rPr>
          <w:rFonts w:eastAsia="Calibri" w:cs="Times New Roman"/>
          <w:sz w:val="26"/>
          <w:szCs w:val="26"/>
        </w:rPr>
        <w:t xml:space="preserve"> внес предложение разработать и принять декларацию добросовестных участников рынка аудиторских услуг.</w:t>
      </w:r>
      <w:r>
        <w:rPr>
          <w:rFonts w:eastAsia="Calibri" w:cs="Times New Roman"/>
          <w:sz w:val="26"/>
          <w:szCs w:val="26"/>
        </w:rPr>
        <w:t xml:space="preserve"> </w:t>
      </w:r>
    </w:p>
    <w:p w:rsidR="00E462A2" w:rsidRDefault="00751CA6" w:rsidP="00DC1857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Члены Комитета </w:t>
      </w:r>
      <w:r w:rsidR="00A4013D">
        <w:rPr>
          <w:rFonts w:eastAsia="Calibri" w:cs="Times New Roman"/>
          <w:sz w:val="26"/>
          <w:szCs w:val="26"/>
        </w:rPr>
        <w:t>созда</w:t>
      </w:r>
      <w:r>
        <w:rPr>
          <w:rFonts w:eastAsia="Calibri" w:cs="Times New Roman"/>
          <w:sz w:val="26"/>
          <w:szCs w:val="26"/>
        </w:rPr>
        <w:t>ли</w:t>
      </w:r>
      <w:r w:rsidR="00A4013D">
        <w:rPr>
          <w:rFonts w:eastAsia="Calibri" w:cs="Times New Roman"/>
          <w:sz w:val="26"/>
          <w:szCs w:val="26"/>
        </w:rPr>
        <w:t xml:space="preserve"> </w:t>
      </w:r>
      <w:r w:rsidR="00E462A2">
        <w:rPr>
          <w:rFonts w:eastAsia="Calibri" w:cs="Times New Roman"/>
          <w:sz w:val="26"/>
          <w:szCs w:val="26"/>
        </w:rPr>
        <w:t>инициативную</w:t>
      </w:r>
      <w:r w:rsidR="00A4013D">
        <w:rPr>
          <w:rFonts w:eastAsia="Calibri" w:cs="Times New Roman"/>
          <w:sz w:val="26"/>
          <w:szCs w:val="26"/>
        </w:rPr>
        <w:t xml:space="preserve"> группу для изучения данного вопроса и разработки документа</w:t>
      </w:r>
      <w:r>
        <w:rPr>
          <w:rFonts w:eastAsia="Calibri" w:cs="Times New Roman"/>
          <w:sz w:val="26"/>
          <w:szCs w:val="26"/>
        </w:rPr>
        <w:t xml:space="preserve"> и </w:t>
      </w:r>
      <w:r w:rsidR="00DC1857">
        <w:rPr>
          <w:rFonts w:eastAsia="Calibri" w:cs="Times New Roman"/>
          <w:sz w:val="26"/>
          <w:szCs w:val="26"/>
        </w:rPr>
        <w:t xml:space="preserve">решили </w:t>
      </w:r>
      <w:r>
        <w:rPr>
          <w:rFonts w:eastAsia="Calibri" w:cs="Times New Roman"/>
          <w:sz w:val="26"/>
          <w:szCs w:val="26"/>
        </w:rPr>
        <w:t>н</w:t>
      </w:r>
      <w:r w:rsidR="00E462A2">
        <w:rPr>
          <w:rFonts w:eastAsia="Calibri" w:cs="Times New Roman"/>
          <w:sz w:val="26"/>
          <w:szCs w:val="26"/>
        </w:rPr>
        <w:t xml:space="preserve">аправить </w:t>
      </w:r>
      <w:r w:rsidR="00DC1857">
        <w:rPr>
          <w:rFonts w:eastAsia="Calibri" w:cs="Times New Roman"/>
          <w:sz w:val="26"/>
          <w:szCs w:val="26"/>
        </w:rPr>
        <w:t>информацию об</w:t>
      </w:r>
      <w:r>
        <w:rPr>
          <w:rFonts w:eastAsia="Calibri" w:cs="Times New Roman"/>
          <w:sz w:val="26"/>
          <w:szCs w:val="26"/>
        </w:rPr>
        <w:t xml:space="preserve"> этом </w:t>
      </w:r>
      <w:r w:rsidR="00E462A2">
        <w:rPr>
          <w:rFonts w:eastAsia="Calibri" w:cs="Times New Roman"/>
          <w:sz w:val="26"/>
          <w:szCs w:val="26"/>
        </w:rPr>
        <w:t xml:space="preserve">в Комитет </w:t>
      </w:r>
      <w:r w:rsidR="00D56E20">
        <w:rPr>
          <w:rFonts w:eastAsia="Calibri" w:cs="Times New Roman"/>
          <w:sz w:val="26"/>
          <w:szCs w:val="26"/>
        </w:rPr>
        <w:t>по международным связям СРО ААС, Комитет по аудиту общественно значимых организаций СРО ААС, Комитет по правовым вопросам</w:t>
      </w:r>
      <w:r w:rsidR="00812CBB">
        <w:rPr>
          <w:rFonts w:eastAsia="Calibri" w:cs="Times New Roman"/>
          <w:sz w:val="26"/>
          <w:szCs w:val="26"/>
        </w:rPr>
        <w:t xml:space="preserve"> аудиторской деятельности СРО ААС</w:t>
      </w:r>
      <w:r w:rsidR="00D56E20">
        <w:rPr>
          <w:rFonts w:eastAsia="Calibri" w:cs="Times New Roman"/>
          <w:sz w:val="26"/>
          <w:szCs w:val="26"/>
        </w:rPr>
        <w:t xml:space="preserve">, Комиссию СРО ААС по контролю качества, Комитет по стандартизации и методологии аудиторской деятельности СРО ААС. </w:t>
      </w:r>
    </w:p>
    <w:p w:rsidR="00E1389A" w:rsidRDefault="00E1389A" w:rsidP="00DC1857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A829A4" w:rsidRPr="00DC1857" w:rsidRDefault="00751CA6" w:rsidP="00DC1857">
      <w:pPr>
        <w:tabs>
          <w:tab w:val="right" w:pos="851"/>
        </w:tabs>
        <w:spacing w:after="0" w:line="240" w:lineRule="auto"/>
        <w:jc w:val="both"/>
        <w:rPr>
          <w:rFonts w:eastAsia="Calibri"/>
          <w:sz w:val="26"/>
          <w:szCs w:val="26"/>
        </w:rPr>
      </w:pPr>
      <w:r w:rsidRPr="00751CA6">
        <w:rPr>
          <w:rFonts w:eastAsia="Calibri" w:cs="Times New Roman"/>
          <w:sz w:val="26"/>
          <w:szCs w:val="26"/>
        </w:rPr>
        <w:t>По второму вопросу</w:t>
      </w:r>
      <w:r>
        <w:rPr>
          <w:rFonts w:eastAsia="Calibri" w:cs="Times New Roman"/>
          <w:sz w:val="26"/>
          <w:szCs w:val="26"/>
        </w:rPr>
        <w:t xml:space="preserve"> было рассмотрено </w:t>
      </w:r>
      <w:r w:rsidR="00717AB8">
        <w:rPr>
          <w:rFonts w:eastAsia="Calibri" w:cs="Times New Roman"/>
          <w:sz w:val="26"/>
          <w:szCs w:val="26"/>
        </w:rPr>
        <w:t>четыре</w:t>
      </w:r>
      <w:r>
        <w:rPr>
          <w:rFonts w:eastAsia="Calibri" w:cs="Times New Roman"/>
          <w:sz w:val="26"/>
          <w:szCs w:val="26"/>
        </w:rPr>
        <w:t xml:space="preserve"> жалобы, поступившие в Комитет от Дисциплинарной комиссии СРО ААС. По одной жалобе не было </w:t>
      </w:r>
      <w:r w:rsidR="00A64168" w:rsidRPr="009E45A2">
        <w:rPr>
          <w:rFonts w:eastAsia="Arial" w:cs="Times New Roman"/>
          <w:sz w:val="26"/>
          <w:szCs w:val="26"/>
          <w:lang w:bidi="ru-RU"/>
        </w:rPr>
        <w:t>выявлено фактов</w:t>
      </w:r>
      <w:r w:rsidR="00A64168">
        <w:rPr>
          <w:rFonts w:eastAsia="Calibri" w:cs="Times New Roman"/>
          <w:sz w:val="26"/>
          <w:szCs w:val="26"/>
        </w:rPr>
        <w:t xml:space="preserve">, </w:t>
      </w:r>
      <w:r w:rsidR="00A64168" w:rsidRPr="00A64168">
        <w:rPr>
          <w:rFonts w:eastAsia="Calibri" w:cs="Times New Roman"/>
          <w:sz w:val="26"/>
          <w:szCs w:val="26"/>
        </w:rPr>
        <w:t>подтверждающих нарушение этических принципов, предусмотренных Кодексом профессиональной этики аудиторов.</w:t>
      </w:r>
      <w:r>
        <w:rPr>
          <w:rFonts w:eastAsia="Calibri" w:cs="Times New Roman"/>
          <w:sz w:val="26"/>
          <w:szCs w:val="26"/>
        </w:rPr>
        <w:t xml:space="preserve"> По </w:t>
      </w:r>
      <w:r w:rsidR="00717AB8">
        <w:rPr>
          <w:rFonts w:eastAsia="Calibri" w:cs="Times New Roman"/>
          <w:sz w:val="26"/>
          <w:szCs w:val="26"/>
        </w:rPr>
        <w:t>двум</w:t>
      </w:r>
      <w:r>
        <w:rPr>
          <w:rFonts w:eastAsia="Calibri" w:cs="Times New Roman"/>
          <w:sz w:val="26"/>
          <w:szCs w:val="26"/>
        </w:rPr>
        <w:t xml:space="preserve"> жалоб</w:t>
      </w:r>
      <w:r w:rsidR="00717AB8">
        <w:rPr>
          <w:rFonts w:eastAsia="Calibri" w:cs="Times New Roman"/>
          <w:sz w:val="26"/>
          <w:szCs w:val="26"/>
        </w:rPr>
        <w:t>ам</w:t>
      </w:r>
      <w:r>
        <w:rPr>
          <w:rFonts w:eastAsia="Calibri" w:cs="Times New Roman"/>
          <w:sz w:val="26"/>
          <w:szCs w:val="26"/>
        </w:rPr>
        <w:t xml:space="preserve"> </w:t>
      </w:r>
      <w:r w:rsidRPr="00CE3254">
        <w:rPr>
          <w:sz w:val="26"/>
          <w:szCs w:val="26"/>
          <w:lang w:bidi="ru-RU"/>
        </w:rPr>
        <w:t xml:space="preserve">было </w:t>
      </w:r>
      <w:r>
        <w:rPr>
          <w:sz w:val="26"/>
          <w:szCs w:val="26"/>
          <w:lang w:bidi="ru-RU"/>
        </w:rPr>
        <w:t xml:space="preserve">обнаружено </w:t>
      </w:r>
      <w:r w:rsidRPr="00CE3254">
        <w:rPr>
          <w:sz w:val="26"/>
          <w:szCs w:val="26"/>
          <w:lang w:bidi="ru-RU"/>
        </w:rPr>
        <w:t>нарушен</w:t>
      </w:r>
      <w:r>
        <w:rPr>
          <w:sz w:val="26"/>
          <w:szCs w:val="26"/>
          <w:lang w:bidi="ru-RU"/>
        </w:rPr>
        <w:t>ие</w:t>
      </w:r>
      <w:r w:rsidRPr="00CE3254">
        <w:rPr>
          <w:sz w:val="26"/>
          <w:szCs w:val="26"/>
          <w:lang w:bidi="ru-RU"/>
        </w:rPr>
        <w:t xml:space="preserve"> принцип</w:t>
      </w:r>
      <w:r w:rsidR="00DC1857">
        <w:rPr>
          <w:sz w:val="26"/>
          <w:szCs w:val="26"/>
          <w:lang w:bidi="ru-RU"/>
        </w:rPr>
        <w:t>ов</w:t>
      </w:r>
      <w:r w:rsidRPr="00CE3254">
        <w:rPr>
          <w:sz w:val="26"/>
          <w:szCs w:val="26"/>
          <w:lang w:bidi="ru-RU"/>
        </w:rPr>
        <w:t xml:space="preserve"> честности и профессионального поведения</w:t>
      </w:r>
      <w:r>
        <w:rPr>
          <w:sz w:val="26"/>
          <w:szCs w:val="26"/>
          <w:lang w:bidi="ru-RU"/>
        </w:rPr>
        <w:t xml:space="preserve"> и </w:t>
      </w:r>
      <w:r w:rsidR="00DC1857">
        <w:rPr>
          <w:sz w:val="26"/>
          <w:szCs w:val="26"/>
          <w:lang w:bidi="ru-RU"/>
        </w:rPr>
        <w:t xml:space="preserve">соответствующие </w:t>
      </w:r>
      <w:r>
        <w:rPr>
          <w:sz w:val="26"/>
          <w:szCs w:val="26"/>
          <w:lang w:bidi="ru-RU"/>
        </w:rPr>
        <w:t>заключени</w:t>
      </w:r>
      <w:r w:rsidR="00717AB8">
        <w:rPr>
          <w:sz w:val="26"/>
          <w:szCs w:val="26"/>
          <w:lang w:bidi="ru-RU"/>
        </w:rPr>
        <w:t>я</w:t>
      </w:r>
      <w:r>
        <w:rPr>
          <w:sz w:val="26"/>
          <w:szCs w:val="26"/>
          <w:lang w:bidi="ru-RU"/>
        </w:rPr>
        <w:t xml:space="preserve"> Комитета был</w:t>
      </w:r>
      <w:r w:rsidR="00717AB8">
        <w:rPr>
          <w:sz w:val="26"/>
          <w:szCs w:val="26"/>
          <w:lang w:bidi="ru-RU"/>
        </w:rPr>
        <w:t>и</w:t>
      </w:r>
      <w:r>
        <w:rPr>
          <w:sz w:val="26"/>
          <w:szCs w:val="26"/>
          <w:lang w:bidi="ru-RU"/>
        </w:rPr>
        <w:t xml:space="preserve"> </w:t>
      </w:r>
      <w:r w:rsidR="00DC1857">
        <w:rPr>
          <w:sz w:val="26"/>
          <w:szCs w:val="26"/>
          <w:lang w:bidi="ru-RU"/>
        </w:rPr>
        <w:t>направлены</w:t>
      </w:r>
      <w:r w:rsidR="00717AB8">
        <w:rPr>
          <w:sz w:val="26"/>
          <w:szCs w:val="26"/>
          <w:lang w:bidi="ru-RU"/>
        </w:rPr>
        <w:t xml:space="preserve"> в</w:t>
      </w:r>
      <w:r w:rsidR="00DC1857">
        <w:rPr>
          <w:sz w:val="26"/>
          <w:szCs w:val="26"/>
          <w:lang w:bidi="ru-RU"/>
        </w:rPr>
        <w:t xml:space="preserve"> Дисциплинарную</w:t>
      </w:r>
      <w:r w:rsidR="00717AB8">
        <w:rPr>
          <w:sz w:val="26"/>
          <w:szCs w:val="26"/>
          <w:lang w:bidi="ru-RU"/>
        </w:rPr>
        <w:t xml:space="preserve"> комиссию СРО ААС. По одной жалобе было </w:t>
      </w:r>
      <w:r w:rsidR="00DC1857">
        <w:rPr>
          <w:sz w:val="26"/>
          <w:szCs w:val="26"/>
          <w:lang w:bidi="ru-RU"/>
        </w:rPr>
        <w:t>решено</w:t>
      </w:r>
      <w:r w:rsidR="00717AB8">
        <w:rPr>
          <w:sz w:val="26"/>
          <w:szCs w:val="26"/>
          <w:lang w:bidi="ru-RU"/>
        </w:rPr>
        <w:t xml:space="preserve"> </w:t>
      </w:r>
      <w:r w:rsidR="00717AB8" w:rsidRPr="00DC1857">
        <w:rPr>
          <w:rFonts w:eastAsia="Calibri"/>
          <w:sz w:val="26"/>
          <w:szCs w:val="26"/>
        </w:rPr>
        <w:t>пр</w:t>
      </w:r>
      <w:r w:rsidR="00717AB8" w:rsidRPr="00DC1857">
        <w:rPr>
          <w:rFonts w:eastAsia="Calibri"/>
          <w:sz w:val="26"/>
          <w:szCs w:val="26"/>
        </w:rPr>
        <w:t>овести совместный звонок с руководителем отдела по работе с жалобами СРО ААС</w:t>
      </w:r>
      <w:r w:rsidR="00717AB8" w:rsidRPr="00DC1857">
        <w:rPr>
          <w:rFonts w:eastAsia="Calibri"/>
          <w:sz w:val="26"/>
          <w:szCs w:val="26"/>
        </w:rPr>
        <w:t xml:space="preserve"> для дальнейшего её рассмотрения</w:t>
      </w:r>
    </w:p>
    <w:p w:rsidR="00A829A4" w:rsidRPr="00DC1857" w:rsidRDefault="00A829A4" w:rsidP="00DC1857">
      <w:pPr>
        <w:pStyle w:val="NormalWeb"/>
        <w:spacing w:before="0" w:beforeAutospacing="0" w:after="0" w:afterAutospacing="0"/>
        <w:rPr>
          <w:rFonts w:eastAsia="Calibri"/>
          <w:sz w:val="26"/>
          <w:szCs w:val="26"/>
          <w:lang w:eastAsia="en-US"/>
        </w:rPr>
      </w:pPr>
    </w:p>
    <w:p w:rsidR="00486265" w:rsidRPr="00DC1857" w:rsidRDefault="00717AB8" w:rsidP="00DC1857">
      <w:pPr>
        <w:pStyle w:val="NormalWeb"/>
        <w:spacing w:before="0" w:beforeAutospacing="0" w:after="0" w:afterAutospacing="0"/>
        <w:rPr>
          <w:rFonts w:eastAsia="Calibri"/>
          <w:sz w:val="26"/>
          <w:szCs w:val="26"/>
          <w:lang w:eastAsia="en-US"/>
        </w:rPr>
      </w:pPr>
      <w:r w:rsidRPr="00DC1857">
        <w:rPr>
          <w:rFonts w:eastAsia="Calibri"/>
          <w:sz w:val="26"/>
          <w:szCs w:val="26"/>
          <w:lang w:eastAsia="en-US"/>
        </w:rPr>
        <w:t>По третьему вопросу были рассмотрены: взаим</w:t>
      </w:r>
      <w:r w:rsidR="00DC1857">
        <w:rPr>
          <w:rFonts w:eastAsia="Calibri"/>
          <w:sz w:val="26"/>
          <w:szCs w:val="26"/>
          <w:lang w:eastAsia="en-US"/>
        </w:rPr>
        <w:t>о</w:t>
      </w:r>
      <w:r w:rsidRPr="00DC1857">
        <w:rPr>
          <w:rFonts w:eastAsia="Calibri"/>
          <w:sz w:val="26"/>
          <w:szCs w:val="26"/>
          <w:lang w:eastAsia="en-US"/>
        </w:rPr>
        <w:t xml:space="preserve">действие Комитета с </w:t>
      </w:r>
      <w:r w:rsidR="00A12381" w:rsidRPr="00DC1857">
        <w:rPr>
          <w:rFonts w:eastAsia="Calibri"/>
          <w:sz w:val="26"/>
          <w:szCs w:val="26"/>
          <w:lang w:eastAsia="en-US"/>
        </w:rPr>
        <w:t xml:space="preserve">Комитетом по международным связям СРО ААС в части перевода Кодекса </w:t>
      </w:r>
      <w:r w:rsidR="008853A7" w:rsidRPr="00DC1857">
        <w:rPr>
          <w:rFonts w:eastAsia="Calibri"/>
          <w:sz w:val="26"/>
          <w:szCs w:val="26"/>
          <w:lang w:eastAsia="en-US"/>
        </w:rPr>
        <w:t>про</w:t>
      </w:r>
      <w:r w:rsidR="00B857D1" w:rsidRPr="00DC1857">
        <w:rPr>
          <w:rFonts w:eastAsia="Calibri"/>
          <w:sz w:val="26"/>
          <w:szCs w:val="26"/>
          <w:lang w:eastAsia="en-US"/>
        </w:rPr>
        <w:t>фессиональной этик</w:t>
      </w:r>
      <w:r w:rsidR="00DC1857">
        <w:rPr>
          <w:rFonts w:eastAsia="Calibri"/>
          <w:sz w:val="26"/>
          <w:szCs w:val="26"/>
          <w:lang w:eastAsia="en-US"/>
        </w:rPr>
        <w:t>и</w:t>
      </w:r>
      <w:r w:rsidR="00B857D1" w:rsidRPr="00DC1857">
        <w:rPr>
          <w:rFonts w:eastAsia="Calibri"/>
          <w:sz w:val="26"/>
          <w:szCs w:val="26"/>
          <w:lang w:eastAsia="en-US"/>
        </w:rPr>
        <w:t xml:space="preserve"> и независимости аудиторов</w:t>
      </w:r>
      <w:r w:rsidRPr="00DC1857">
        <w:rPr>
          <w:rFonts w:eastAsia="Calibri"/>
          <w:sz w:val="26"/>
          <w:szCs w:val="26"/>
          <w:lang w:eastAsia="en-US"/>
        </w:rPr>
        <w:t xml:space="preserve">, </w:t>
      </w:r>
      <w:r w:rsidR="00EE21FE" w:rsidRPr="00DC1857">
        <w:rPr>
          <w:rFonts w:eastAsia="Calibri"/>
          <w:sz w:val="26"/>
          <w:szCs w:val="26"/>
          <w:lang w:eastAsia="en-US"/>
        </w:rPr>
        <w:t>статус разработки Дисциплинарного кодекса</w:t>
      </w:r>
      <w:r w:rsidRPr="00DC1857">
        <w:rPr>
          <w:rFonts w:eastAsia="Calibri"/>
          <w:sz w:val="26"/>
          <w:szCs w:val="26"/>
          <w:lang w:eastAsia="en-US"/>
        </w:rPr>
        <w:t xml:space="preserve"> СРО ААС и проекта р</w:t>
      </w:r>
      <w:r w:rsidR="00D51729" w:rsidRPr="00DC1857">
        <w:rPr>
          <w:rFonts w:eastAsia="Calibri"/>
          <w:sz w:val="26"/>
          <w:szCs w:val="26"/>
          <w:lang w:eastAsia="en-US"/>
        </w:rPr>
        <w:t xml:space="preserve">егламента выявления случаев недобросовестной конкуренции в части </w:t>
      </w:r>
      <w:bookmarkStart w:id="0" w:name="_GoBack"/>
      <w:bookmarkEnd w:id="0"/>
      <w:r w:rsidR="00D51729" w:rsidRPr="00DC1857">
        <w:rPr>
          <w:rFonts w:eastAsia="Calibri"/>
          <w:sz w:val="26"/>
          <w:szCs w:val="26"/>
          <w:lang w:eastAsia="en-US"/>
        </w:rPr>
        <w:t xml:space="preserve">ценообразования </w:t>
      </w:r>
      <w:r w:rsidR="00DC1857">
        <w:rPr>
          <w:rFonts w:eastAsia="Calibri"/>
          <w:sz w:val="26"/>
          <w:szCs w:val="26"/>
          <w:lang w:eastAsia="en-US"/>
        </w:rPr>
        <w:t>при</w:t>
      </w:r>
      <w:r w:rsidR="00D51729" w:rsidRPr="00DC1857">
        <w:rPr>
          <w:rFonts w:eastAsia="Calibri"/>
          <w:sz w:val="26"/>
          <w:szCs w:val="26"/>
          <w:lang w:eastAsia="en-US"/>
        </w:rPr>
        <w:t xml:space="preserve"> оказани</w:t>
      </w:r>
      <w:r w:rsidR="00DC1857">
        <w:rPr>
          <w:rFonts w:eastAsia="Calibri"/>
          <w:sz w:val="26"/>
          <w:szCs w:val="26"/>
          <w:lang w:eastAsia="en-US"/>
        </w:rPr>
        <w:t>и</w:t>
      </w:r>
      <w:r w:rsidR="00D51729" w:rsidRPr="00DC1857">
        <w:rPr>
          <w:rFonts w:eastAsia="Calibri"/>
          <w:sz w:val="26"/>
          <w:szCs w:val="26"/>
          <w:lang w:eastAsia="en-US"/>
        </w:rPr>
        <w:t xml:space="preserve"> аудиторских услуг.</w:t>
      </w:r>
    </w:p>
    <w:sectPr w:rsidR="00486265" w:rsidRPr="00DC1857" w:rsidSect="00DC1857">
      <w:footerReference w:type="default" r:id="rId11"/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EF7" w:rsidRDefault="00D92EF7" w:rsidP="00252573">
      <w:pPr>
        <w:spacing w:after="0" w:line="240" w:lineRule="auto"/>
      </w:pPr>
      <w:r>
        <w:separator/>
      </w:r>
    </w:p>
  </w:endnote>
  <w:endnote w:type="continuationSeparator" w:id="0">
    <w:p w:rsidR="00D92EF7" w:rsidRDefault="00D92EF7" w:rsidP="0025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368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2573" w:rsidRDefault="002525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8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2573" w:rsidRDefault="00252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EF7" w:rsidRDefault="00D92EF7" w:rsidP="00252573">
      <w:pPr>
        <w:spacing w:after="0" w:line="240" w:lineRule="auto"/>
      </w:pPr>
      <w:r>
        <w:separator/>
      </w:r>
    </w:p>
  </w:footnote>
  <w:footnote w:type="continuationSeparator" w:id="0">
    <w:p w:rsidR="00D92EF7" w:rsidRDefault="00D92EF7" w:rsidP="00252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7765"/>
    <w:multiLevelType w:val="hybridMultilevel"/>
    <w:tmpl w:val="E1FE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20E73"/>
    <w:multiLevelType w:val="multilevel"/>
    <w:tmpl w:val="E59AF2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0707739"/>
    <w:multiLevelType w:val="multilevel"/>
    <w:tmpl w:val="47502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D6D6333"/>
    <w:multiLevelType w:val="hybridMultilevel"/>
    <w:tmpl w:val="C55AA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75E9A"/>
    <w:multiLevelType w:val="hybridMultilevel"/>
    <w:tmpl w:val="C00A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8329E"/>
    <w:multiLevelType w:val="multilevel"/>
    <w:tmpl w:val="47502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D450C06"/>
    <w:multiLevelType w:val="multilevel"/>
    <w:tmpl w:val="47502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EC"/>
    <w:rsid w:val="000C645C"/>
    <w:rsid w:val="001438B2"/>
    <w:rsid w:val="00172142"/>
    <w:rsid w:val="001B1C93"/>
    <w:rsid w:val="001B493E"/>
    <w:rsid w:val="001B5697"/>
    <w:rsid w:val="001F23B6"/>
    <w:rsid w:val="002425F0"/>
    <w:rsid w:val="00252573"/>
    <w:rsid w:val="00281DEC"/>
    <w:rsid w:val="00283BBA"/>
    <w:rsid w:val="002925E2"/>
    <w:rsid w:val="00294CA9"/>
    <w:rsid w:val="002A0DA6"/>
    <w:rsid w:val="002B4A15"/>
    <w:rsid w:val="00314799"/>
    <w:rsid w:val="00356AA4"/>
    <w:rsid w:val="00392238"/>
    <w:rsid w:val="003B2D35"/>
    <w:rsid w:val="003E3889"/>
    <w:rsid w:val="003F6DAF"/>
    <w:rsid w:val="00402F8F"/>
    <w:rsid w:val="004450BF"/>
    <w:rsid w:val="00457B9F"/>
    <w:rsid w:val="00460606"/>
    <w:rsid w:val="00485A13"/>
    <w:rsid w:val="00486265"/>
    <w:rsid w:val="004B7108"/>
    <w:rsid w:val="004C1C6C"/>
    <w:rsid w:val="004C7AD9"/>
    <w:rsid w:val="005012DB"/>
    <w:rsid w:val="00511BD3"/>
    <w:rsid w:val="00525D8C"/>
    <w:rsid w:val="005525F8"/>
    <w:rsid w:val="00570D61"/>
    <w:rsid w:val="005A7955"/>
    <w:rsid w:val="005B5F29"/>
    <w:rsid w:val="005F2E8E"/>
    <w:rsid w:val="006814AF"/>
    <w:rsid w:val="006B4F49"/>
    <w:rsid w:val="006B578C"/>
    <w:rsid w:val="006D2847"/>
    <w:rsid w:val="006E67FA"/>
    <w:rsid w:val="00717AB8"/>
    <w:rsid w:val="0074177E"/>
    <w:rsid w:val="00751CA6"/>
    <w:rsid w:val="00764CBF"/>
    <w:rsid w:val="00797DF5"/>
    <w:rsid w:val="007B4D5C"/>
    <w:rsid w:val="007C3E46"/>
    <w:rsid w:val="007C794B"/>
    <w:rsid w:val="007E55C4"/>
    <w:rsid w:val="007E6251"/>
    <w:rsid w:val="007F3783"/>
    <w:rsid w:val="00805BFD"/>
    <w:rsid w:val="00812CBB"/>
    <w:rsid w:val="00823423"/>
    <w:rsid w:val="0086472F"/>
    <w:rsid w:val="008853A7"/>
    <w:rsid w:val="008910BF"/>
    <w:rsid w:val="008C7410"/>
    <w:rsid w:val="008D03E7"/>
    <w:rsid w:val="00903F57"/>
    <w:rsid w:val="00924DF7"/>
    <w:rsid w:val="00943DF7"/>
    <w:rsid w:val="009828DC"/>
    <w:rsid w:val="009E45A2"/>
    <w:rsid w:val="00A02AE3"/>
    <w:rsid w:val="00A04589"/>
    <w:rsid w:val="00A12381"/>
    <w:rsid w:val="00A165F1"/>
    <w:rsid w:val="00A17937"/>
    <w:rsid w:val="00A4013D"/>
    <w:rsid w:val="00A475A3"/>
    <w:rsid w:val="00A52065"/>
    <w:rsid w:val="00A578B0"/>
    <w:rsid w:val="00A64168"/>
    <w:rsid w:val="00A779C1"/>
    <w:rsid w:val="00A829A4"/>
    <w:rsid w:val="00A860CB"/>
    <w:rsid w:val="00AD022F"/>
    <w:rsid w:val="00AD7CAD"/>
    <w:rsid w:val="00AE1C9C"/>
    <w:rsid w:val="00AF1BD7"/>
    <w:rsid w:val="00B22C69"/>
    <w:rsid w:val="00B63465"/>
    <w:rsid w:val="00B67585"/>
    <w:rsid w:val="00B765A4"/>
    <w:rsid w:val="00B857D1"/>
    <w:rsid w:val="00BA2039"/>
    <w:rsid w:val="00BF1B15"/>
    <w:rsid w:val="00C01C06"/>
    <w:rsid w:val="00C27BBE"/>
    <w:rsid w:val="00C71A1F"/>
    <w:rsid w:val="00CB1F4F"/>
    <w:rsid w:val="00CD1465"/>
    <w:rsid w:val="00CD67F8"/>
    <w:rsid w:val="00CE3254"/>
    <w:rsid w:val="00CF1656"/>
    <w:rsid w:val="00D152F3"/>
    <w:rsid w:val="00D21B05"/>
    <w:rsid w:val="00D32058"/>
    <w:rsid w:val="00D33251"/>
    <w:rsid w:val="00D51729"/>
    <w:rsid w:val="00D56E20"/>
    <w:rsid w:val="00D62681"/>
    <w:rsid w:val="00D92EF7"/>
    <w:rsid w:val="00DB7EC9"/>
    <w:rsid w:val="00DC1857"/>
    <w:rsid w:val="00E1389A"/>
    <w:rsid w:val="00E43DA9"/>
    <w:rsid w:val="00E462A2"/>
    <w:rsid w:val="00E55405"/>
    <w:rsid w:val="00E85457"/>
    <w:rsid w:val="00EE21FE"/>
    <w:rsid w:val="00F05986"/>
    <w:rsid w:val="00F45CAE"/>
    <w:rsid w:val="00F821F8"/>
    <w:rsid w:val="00F9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F4A1"/>
  <w15:chartTrackingRefBased/>
  <w15:docId w15:val="{FF0718CA-A40D-4C07-899F-7395E5A6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2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57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573"/>
  </w:style>
  <w:style w:type="paragraph" w:styleId="Footer">
    <w:name w:val="footer"/>
    <w:basedOn w:val="Normal"/>
    <w:link w:val="FooterChar"/>
    <w:uiPriority w:val="99"/>
    <w:unhideWhenUsed/>
    <w:rsid w:val="0025257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573"/>
  </w:style>
  <w:style w:type="paragraph" w:styleId="BalloonText">
    <w:name w:val="Balloon Text"/>
    <w:basedOn w:val="Normal"/>
    <w:link w:val="BalloonTextChar"/>
    <w:uiPriority w:val="99"/>
    <w:semiHidden/>
    <w:unhideWhenUsed/>
    <w:rsid w:val="00741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3254"/>
    <w:rPr>
      <w:color w:val="0563C1" w:themeColor="hyperlink"/>
      <w:u w:val="single"/>
    </w:rPr>
  </w:style>
  <w:style w:type="paragraph" w:customStyle="1" w:styleId="Default">
    <w:name w:val="Default"/>
    <w:rsid w:val="007B4D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974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7A3A6-E183-43AA-9B0D-50735D6D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Сопивнык Татьяна Викторовна</dc:creator>
  <cp:keywords/>
  <dc:description/>
  <cp:lastModifiedBy>Papusha, Olga</cp:lastModifiedBy>
  <cp:revision>2</cp:revision>
  <dcterms:created xsi:type="dcterms:W3CDTF">2022-08-02T11:04:00Z</dcterms:created>
  <dcterms:modified xsi:type="dcterms:W3CDTF">2022-08-02T11:04:00Z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/>
  </property>
  <property fmtid="{D5CDD505-2E9C-101B-9397-08002B2CF9AE}" pid="3" name="Hide date">
    <vt:lpwstr/>
  </property>
  <property fmtid="{D5CDD505-2E9C-101B-9397-08002B2CF9AE}" pid="4" name="Classification">
    <vt:lpwstr>Public</vt:lpwstr>
  </property>
</Properties>
</file>